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10" w:rsidRPr="00314C12" w:rsidRDefault="00CF7860" w:rsidP="00471A10">
      <w:pPr>
        <w:spacing w:afterLines="100" w:after="240" w:line="300" w:lineRule="auto"/>
        <w:jc w:val="center"/>
        <w:rPr>
          <w:rFonts w:ascii="Gotham XNarrow Bold" w:hAnsi="Gotham XNarrow Bold" w:cstheme="minorHAnsi"/>
          <w:bCs/>
          <w:kern w:val="32"/>
          <w:sz w:val="28"/>
          <w:szCs w:val="28"/>
        </w:rPr>
      </w:pPr>
      <w:r w:rsidRPr="00314C12">
        <w:rPr>
          <w:rFonts w:ascii="Gotham XNarrow Bold" w:hAnsi="Gotham XNarrow Bold" w:cstheme="minorHAnsi"/>
          <w:bCs/>
          <w:kern w:val="32"/>
          <w:sz w:val="28"/>
          <w:szCs w:val="28"/>
        </w:rPr>
        <w:t>ABC’s</w:t>
      </w:r>
      <w:r w:rsidR="00471A10" w:rsidRPr="00314C12">
        <w:rPr>
          <w:rFonts w:ascii="Gotham XNarrow Bold" w:hAnsi="Gotham XNarrow Bold" w:cstheme="minorHAnsi"/>
          <w:bCs/>
          <w:kern w:val="32"/>
          <w:sz w:val="28"/>
          <w:szCs w:val="28"/>
        </w:rPr>
        <w:t xml:space="preserve"> STEWARDSHIP DISCLOSURE FRAMEWORK</w:t>
      </w:r>
    </w:p>
    <w:tbl>
      <w:tblPr>
        <w:tblStyle w:val="TableGrid"/>
        <w:tblW w:w="15026" w:type="dxa"/>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226"/>
        <w:gridCol w:w="7831"/>
      </w:tblGrid>
      <w:tr w:rsidR="0039457F" w:rsidTr="00314C12">
        <w:trPr>
          <w:jc w:val="center"/>
        </w:trPr>
        <w:tc>
          <w:tcPr>
            <w:tcW w:w="7195" w:type="dxa"/>
            <w:gridSpan w:val="2"/>
          </w:tcPr>
          <w:p w:rsidR="0039457F" w:rsidRDefault="00AA0D29" w:rsidP="00DB28D9">
            <w:pPr>
              <w:spacing w:line="300" w:lineRule="auto"/>
              <w:jc w:val="center"/>
              <w:rPr>
                <w:b/>
                <w:iCs/>
                <w:sz w:val="20"/>
                <w:szCs w:val="20"/>
              </w:rPr>
            </w:pPr>
            <w:r>
              <w:rPr>
                <w:noProof/>
                <w:lang w:eastAsia="en-GB"/>
              </w:rPr>
              <w:drawing>
                <wp:inline distT="0" distB="0" distL="0" distR="0" wp14:anchorId="79C0E508" wp14:editId="781F6AED">
                  <wp:extent cx="4226312" cy="1773044"/>
                  <wp:effectExtent l="0" t="0" r="31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7831" w:type="dxa"/>
          </w:tcPr>
          <w:p w:rsidR="0039457F" w:rsidRDefault="00AA0D29" w:rsidP="00DB28D9">
            <w:pPr>
              <w:spacing w:line="300" w:lineRule="auto"/>
              <w:jc w:val="center"/>
              <w:rPr>
                <w:b/>
                <w:iCs/>
                <w:sz w:val="20"/>
                <w:szCs w:val="20"/>
              </w:rPr>
            </w:pPr>
            <w:r>
              <w:rPr>
                <w:noProof/>
                <w:lang w:eastAsia="en-GB"/>
              </w:rPr>
              <w:drawing>
                <wp:inline distT="0" distB="0" distL="0" distR="0" wp14:anchorId="6855EC13" wp14:editId="434E76FC">
                  <wp:extent cx="4181707" cy="1773044"/>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9457F" w:rsidTr="00314C12">
        <w:trPr>
          <w:trHeight w:val="3022"/>
          <w:jc w:val="center"/>
        </w:trPr>
        <w:tc>
          <w:tcPr>
            <w:tcW w:w="7195" w:type="dxa"/>
            <w:gridSpan w:val="2"/>
          </w:tcPr>
          <w:p w:rsidR="0039457F" w:rsidRDefault="00AA0D29" w:rsidP="00DB28D9">
            <w:pPr>
              <w:spacing w:line="300" w:lineRule="auto"/>
              <w:jc w:val="center"/>
              <w:rPr>
                <w:noProof/>
                <w:lang w:eastAsia="en-GB"/>
              </w:rPr>
            </w:pPr>
            <w:r>
              <w:rPr>
                <w:noProof/>
                <w:lang w:eastAsia="en-GB"/>
              </w:rPr>
              <w:drawing>
                <wp:inline distT="0" distB="0" distL="0" distR="0" wp14:anchorId="34377278" wp14:editId="4E2F4607">
                  <wp:extent cx="4326673" cy="1761893"/>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7831" w:type="dxa"/>
          </w:tcPr>
          <w:p w:rsidR="0039457F" w:rsidRDefault="00AA0D29" w:rsidP="00DB28D9">
            <w:pPr>
              <w:spacing w:line="300" w:lineRule="auto"/>
              <w:jc w:val="center"/>
              <w:rPr>
                <w:noProof/>
                <w:lang w:eastAsia="en-GB"/>
              </w:rPr>
            </w:pPr>
            <w:r>
              <w:rPr>
                <w:noProof/>
                <w:lang w:eastAsia="en-GB"/>
              </w:rPr>
              <w:drawing>
                <wp:inline distT="0" distB="0" distL="0" distR="0" wp14:anchorId="069E4B9F" wp14:editId="01C7B469">
                  <wp:extent cx="4170556" cy="1773044"/>
                  <wp:effectExtent l="0" t="0" r="190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DB28D9" w:rsidTr="009A5B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3969" w:type="dxa"/>
            <w:shd w:val="clear" w:color="auto" w:fill="B6DDE8" w:themeFill="accent5" w:themeFillTint="66"/>
          </w:tcPr>
          <w:p w:rsidR="009A5B0F" w:rsidRPr="009A5B0F" w:rsidRDefault="00DB28D9" w:rsidP="00A90054">
            <w:pPr>
              <w:spacing w:line="300" w:lineRule="auto"/>
              <w:jc w:val="both"/>
              <w:rPr>
                <w:rFonts w:ascii="Georgia" w:hAnsi="Georgia"/>
                <w:b/>
                <w:iCs/>
                <w:sz w:val="20"/>
                <w:szCs w:val="20"/>
              </w:rPr>
            </w:pPr>
            <w:r w:rsidRPr="009A5B0F">
              <w:rPr>
                <w:rFonts w:ascii="Georgia" w:hAnsi="Georgia"/>
                <w:b/>
                <w:iCs/>
                <w:sz w:val="20"/>
                <w:szCs w:val="20"/>
              </w:rPr>
              <w:t>In one sentence, how do you aim to enhance and protect value for clients?</w:t>
            </w:r>
          </w:p>
        </w:tc>
        <w:tc>
          <w:tcPr>
            <w:tcW w:w="11057" w:type="dxa"/>
            <w:gridSpan w:val="2"/>
          </w:tcPr>
          <w:p w:rsidR="00DB28D9" w:rsidRDefault="00DB28D9" w:rsidP="00A90054">
            <w:pPr>
              <w:spacing w:afterLines="100" w:after="240" w:line="300" w:lineRule="auto"/>
              <w:jc w:val="both"/>
              <w:rPr>
                <w:b/>
                <w:iCs/>
                <w:sz w:val="20"/>
                <w:szCs w:val="20"/>
              </w:rPr>
            </w:pPr>
          </w:p>
        </w:tc>
      </w:tr>
      <w:tr w:rsidR="00DB28D9" w:rsidTr="009A5B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3969" w:type="dxa"/>
            <w:shd w:val="clear" w:color="auto" w:fill="B6DDE8" w:themeFill="accent5" w:themeFillTint="66"/>
          </w:tcPr>
          <w:p w:rsidR="00DB28D9" w:rsidRPr="009A5B0F" w:rsidRDefault="00DB28D9" w:rsidP="00A90054">
            <w:pPr>
              <w:spacing w:line="300" w:lineRule="auto"/>
              <w:jc w:val="both"/>
              <w:rPr>
                <w:rFonts w:ascii="Georgia" w:hAnsi="Georgia"/>
                <w:b/>
                <w:iCs/>
                <w:sz w:val="20"/>
                <w:szCs w:val="20"/>
              </w:rPr>
            </w:pPr>
            <w:r w:rsidRPr="009A5B0F">
              <w:rPr>
                <w:rFonts w:ascii="Georgia" w:hAnsi="Georgia"/>
                <w:b/>
                <w:iCs/>
                <w:sz w:val="20"/>
                <w:szCs w:val="20"/>
              </w:rPr>
              <w:t>Which categories of investment products does your stewardship approach apply to?</w:t>
            </w:r>
          </w:p>
        </w:tc>
        <w:tc>
          <w:tcPr>
            <w:tcW w:w="11057" w:type="dxa"/>
            <w:gridSpan w:val="2"/>
          </w:tcPr>
          <w:p w:rsidR="00DB28D9" w:rsidRDefault="00DB28D9" w:rsidP="00A90054">
            <w:pPr>
              <w:spacing w:afterLines="100" w:after="240" w:line="300" w:lineRule="auto"/>
              <w:jc w:val="both"/>
              <w:rPr>
                <w:b/>
                <w:iCs/>
                <w:sz w:val="20"/>
                <w:szCs w:val="20"/>
              </w:rPr>
            </w:pPr>
          </w:p>
        </w:tc>
      </w:tr>
    </w:tbl>
    <w:p w:rsidR="0039457F" w:rsidRDefault="0039457F" w:rsidP="00471A10">
      <w:pPr>
        <w:spacing w:afterLines="100" w:after="240" w:line="300" w:lineRule="auto"/>
        <w:ind w:left="1134"/>
        <w:jc w:val="both"/>
        <w:rPr>
          <w:b/>
          <w:iCs/>
          <w:sz w:val="20"/>
          <w:szCs w:val="20"/>
        </w:rPr>
        <w:sectPr w:rsidR="0039457F" w:rsidSect="00A00D32">
          <w:headerReference w:type="first" r:id="rId13"/>
          <w:pgSz w:w="16838" w:h="11906" w:orient="landscape"/>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tbl>
      <w:tblPr>
        <w:tblStyle w:val="TableGrid"/>
        <w:tblW w:w="15701" w:type="dxa"/>
        <w:tblLayout w:type="fixed"/>
        <w:tblLook w:val="04A0" w:firstRow="1" w:lastRow="0" w:firstColumn="1" w:lastColumn="0" w:noHBand="0" w:noVBand="1"/>
      </w:tblPr>
      <w:tblGrid>
        <w:gridCol w:w="1526"/>
        <w:gridCol w:w="1559"/>
        <w:gridCol w:w="3402"/>
        <w:gridCol w:w="2835"/>
        <w:gridCol w:w="2410"/>
        <w:gridCol w:w="2126"/>
        <w:gridCol w:w="1843"/>
      </w:tblGrid>
      <w:tr w:rsidR="00D36B98" w:rsidTr="00E1674F">
        <w:tc>
          <w:tcPr>
            <w:tcW w:w="15701" w:type="dxa"/>
            <w:gridSpan w:val="7"/>
            <w:shd w:val="clear" w:color="auto" w:fill="B6DDE8" w:themeFill="accent5" w:themeFillTint="66"/>
          </w:tcPr>
          <w:p w:rsidR="00D36B98" w:rsidRPr="00314C12" w:rsidRDefault="00314C12" w:rsidP="009A7A85">
            <w:pPr>
              <w:jc w:val="center"/>
              <w:rPr>
                <w:rFonts w:ascii="Gotham XNarrow Bold" w:hAnsi="Gotham XNarrow Bold"/>
                <w:sz w:val="20"/>
                <w:szCs w:val="20"/>
              </w:rPr>
            </w:pPr>
            <w:r>
              <w:rPr>
                <w:rFonts w:ascii="Gotham XNarrow Bold" w:hAnsi="Gotham XNarrow Bold"/>
                <w:sz w:val="24"/>
                <w:szCs w:val="20"/>
              </w:rPr>
              <w:lastRenderedPageBreak/>
              <w:t xml:space="preserve">PENSIONS AND LIFETIME SAVINGS ASSOCIATION </w:t>
            </w:r>
            <w:r w:rsidRPr="00314C12">
              <w:rPr>
                <w:rFonts w:ascii="Gotham XNarrow Bold" w:hAnsi="Gotham XNarrow Bold"/>
                <w:sz w:val="24"/>
                <w:szCs w:val="20"/>
              </w:rPr>
              <w:t xml:space="preserve">STEWARDSHIP DISCLOSURE FRAMEWORK FOR ASSET MANAGERS </w:t>
            </w:r>
          </w:p>
        </w:tc>
      </w:tr>
      <w:tr w:rsidR="00D36B98" w:rsidTr="00E1674F">
        <w:tc>
          <w:tcPr>
            <w:tcW w:w="15701" w:type="dxa"/>
            <w:gridSpan w:val="7"/>
            <w:shd w:val="clear" w:color="auto" w:fill="D9D9D9" w:themeFill="background1" w:themeFillShade="D9"/>
          </w:tcPr>
          <w:p w:rsidR="00D36B98" w:rsidRPr="00314C12" w:rsidRDefault="00D36B98" w:rsidP="0039457F">
            <w:pPr>
              <w:jc w:val="center"/>
              <w:rPr>
                <w:rFonts w:ascii="Georgia" w:hAnsi="Georgia"/>
              </w:rPr>
            </w:pPr>
            <w:r w:rsidRPr="00314C12">
              <w:rPr>
                <w:rFonts w:ascii="Georgia" w:hAnsi="Georgia"/>
                <w:sz w:val="20"/>
              </w:rPr>
              <w:t xml:space="preserve">Asset managers are asked to self-certify against the below </w:t>
            </w:r>
            <w:r w:rsidR="00E71554" w:rsidRPr="00314C12">
              <w:rPr>
                <w:rFonts w:ascii="Georgia" w:hAnsi="Georgia"/>
                <w:sz w:val="20"/>
              </w:rPr>
              <w:t>s</w:t>
            </w:r>
            <w:r w:rsidRPr="00314C12">
              <w:rPr>
                <w:rFonts w:ascii="Georgia" w:hAnsi="Georgia"/>
                <w:sz w:val="20"/>
              </w:rPr>
              <w:t xml:space="preserve">tewardship categories </w:t>
            </w:r>
            <w:r w:rsidR="00CB400B" w:rsidRPr="00314C12">
              <w:rPr>
                <w:rFonts w:ascii="Georgia" w:hAnsi="Georgia"/>
                <w:sz w:val="20"/>
              </w:rPr>
              <w:t xml:space="preserve">by </w:t>
            </w:r>
            <w:r w:rsidR="00D42CA7" w:rsidRPr="00314C12">
              <w:rPr>
                <w:rFonts w:ascii="Georgia" w:hAnsi="Georgia"/>
                <w:sz w:val="20"/>
              </w:rPr>
              <w:t>highlighting</w:t>
            </w:r>
            <w:r w:rsidR="007473E9" w:rsidRPr="00314C12">
              <w:rPr>
                <w:rFonts w:ascii="Georgia" w:hAnsi="Georgia"/>
                <w:sz w:val="20"/>
              </w:rPr>
              <w:t xml:space="preserve"> the appropriate boxes, </w:t>
            </w:r>
            <w:r w:rsidR="00B02F23" w:rsidRPr="00314C12">
              <w:rPr>
                <w:rFonts w:ascii="Georgia" w:hAnsi="Georgia"/>
                <w:sz w:val="20"/>
              </w:rPr>
              <w:t xml:space="preserve">where </w:t>
            </w:r>
            <w:r w:rsidR="009A7A85" w:rsidRPr="00314C12">
              <w:rPr>
                <w:rFonts w:ascii="Georgia" w:hAnsi="Georgia"/>
                <w:sz w:val="20"/>
              </w:rPr>
              <w:t xml:space="preserve">relevant </w:t>
            </w:r>
            <w:r w:rsidR="00B02F23" w:rsidRPr="00314C12">
              <w:rPr>
                <w:rFonts w:ascii="Georgia" w:hAnsi="Georgia"/>
                <w:sz w:val="20"/>
              </w:rPr>
              <w:t xml:space="preserve">providing a </w:t>
            </w:r>
            <w:r w:rsidR="00E71251" w:rsidRPr="00314C12">
              <w:rPr>
                <w:rFonts w:ascii="Georgia" w:hAnsi="Georgia"/>
                <w:sz w:val="20"/>
              </w:rPr>
              <w:t xml:space="preserve">link </w:t>
            </w:r>
            <w:r w:rsidR="00B02F23" w:rsidRPr="00314C12">
              <w:rPr>
                <w:rFonts w:ascii="Georgia" w:hAnsi="Georgia"/>
                <w:sz w:val="20"/>
              </w:rPr>
              <w:t xml:space="preserve">to </w:t>
            </w:r>
            <w:r w:rsidR="00E71251" w:rsidRPr="00314C12">
              <w:rPr>
                <w:rFonts w:ascii="Georgia" w:hAnsi="Georgia"/>
                <w:sz w:val="20"/>
              </w:rPr>
              <w:t xml:space="preserve">relevant disclosures </w:t>
            </w:r>
            <w:r w:rsidR="009A7A85" w:rsidRPr="00314C12">
              <w:rPr>
                <w:rFonts w:ascii="Georgia" w:hAnsi="Georgia"/>
                <w:sz w:val="20"/>
              </w:rPr>
              <w:t xml:space="preserve">in the box </w:t>
            </w:r>
            <w:r w:rsidR="00D42CA7" w:rsidRPr="00314C12">
              <w:rPr>
                <w:rFonts w:ascii="Georgia" w:hAnsi="Georgia"/>
                <w:sz w:val="20"/>
              </w:rPr>
              <w:t>below</w:t>
            </w:r>
            <w:r w:rsidR="0039457F" w:rsidRPr="00314C12">
              <w:rPr>
                <w:rFonts w:ascii="Georgia" w:hAnsi="Georgia"/>
                <w:sz w:val="20"/>
              </w:rPr>
              <w:t>,</w:t>
            </w:r>
            <w:r w:rsidR="00453AAC" w:rsidRPr="00314C12">
              <w:rPr>
                <w:rFonts w:ascii="Georgia" w:hAnsi="Georgia"/>
                <w:sz w:val="20"/>
              </w:rPr>
              <w:t xml:space="preserve"> and where necessary for understanding </w:t>
            </w:r>
            <w:r w:rsidR="0039457F" w:rsidRPr="00314C12">
              <w:rPr>
                <w:rFonts w:ascii="Georgia" w:hAnsi="Georgia"/>
                <w:sz w:val="20"/>
              </w:rPr>
              <w:t xml:space="preserve">providing </w:t>
            </w:r>
            <w:r w:rsidR="00453AAC" w:rsidRPr="00314C12">
              <w:rPr>
                <w:rFonts w:ascii="Georgia" w:hAnsi="Georgia"/>
                <w:sz w:val="20"/>
              </w:rPr>
              <w:t>a succinct explanation in the right hand side box</w:t>
            </w:r>
            <w:r w:rsidR="00B02F23" w:rsidRPr="00314C12">
              <w:rPr>
                <w:rFonts w:ascii="Georgia" w:hAnsi="Georgia"/>
                <w:sz w:val="20"/>
              </w:rPr>
              <w:t>. C</w:t>
            </w:r>
            <w:r w:rsidRPr="00314C12">
              <w:rPr>
                <w:rFonts w:ascii="Georgia" w:hAnsi="Georgia"/>
                <w:sz w:val="20"/>
              </w:rPr>
              <w:t xml:space="preserve">ompleted </w:t>
            </w:r>
            <w:r w:rsidR="00E71554" w:rsidRPr="00314C12">
              <w:rPr>
                <w:rFonts w:ascii="Georgia" w:hAnsi="Georgia"/>
                <w:sz w:val="20"/>
              </w:rPr>
              <w:t>f</w:t>
            </w:r>
            <w:r w:rsidRPr="00314C12">
              <w:rPr>
                <w:rFonts w:ascii="Georgia" w:hAnsi="Georgia"/>
                <w:sz w:val="20"/>
              </w:rPr>
              <w:t>ramework</w:t>
            </w:r>
            <w:r w:rsidR="00E71251" w:rsidRPr="00314C12">
              <w:rPr>
                <w:rFonts w:ascii="Georgia" w:hAnsi="Georgia"/>
                <w:sz w:val="20"/>
              </w:rPr>
              <w:t>s</w:t>
            </w:r>
            <w:r w:rsidRPr="00314C12">
              <w:rPr>
                <w:rFonts w:ascii="Georgia" w:hAnsi="Georgia"/>
                <w:sz w:val="20"/>
              </w:rPr>
              <w:t xml:space="preserve"> will be made public</w:t>
            </w:r>
            <w:r w:rsidR="00B02F23" w:rsidRPr="00314C12">
              <w:rPr>
                <w:rFonts w:ascii="Georgia" w:hAnsi="Georgia"/>
                <w:sz w:val="20"/>
              </w:rPr>
              <w:t xml:space="preserve">ly available </w:t>
            </w:r>
            <w:r w:rsidR="0039457F" w:rsidRPr="00314C12">
              <w:rPr>
                <w:rFonts w:ascii="Georgia" w:hAnsi="Georgia"/>
                <w:sz w:val="20"/>
              </w:rPr>
              <w:t xml:space="preserve">on the NAPF website </w:t>
            </w:r>
            <w:r w:rsidR="00B02F23" w:rsidRPr="00314C12">
              <w:rPr>
                <w:rFonts w:ascii="Georgia" w:hAnsi="Georgia"/>
                <w:sz w:val="20"/>
              </w:rPr>
              <w:t xml:space="preserve">for pension funds and </w:t>
            </w:r>
            <w:r w:rsidRPr="00314C12">
              <w:rPr>
                <w:rFonts w:ascii="Georgia" w:hAnsi="Georgia"/>
                <w:sz w:val="20"/>
              </w:rPr>
              <w:t>other</w:t>
            </w:r>
            <w:r w:rsidR="007473E9" w:rsidRPr="00314C12">
              <w:rPr>
                <w:rFonts w:ascii="Georgia" w:hAnsi="Georgia"/>
                <w:sz w:val="20"/>
              </w:rPr>
              <w:t>s</w:t>
            </w:r>
            <w:r w:rsidRPr="00314C12">
              <w:rPr>
                <w:rFonts w:ascii="Georgia" w:hAnsi="Georgia"/>
                <w:sz w:val="20"/>
              </w:rPr>
              <w:t xml:space="preserve"> to view at a glance the stewardship policies and activities of the responding asset manager. </w:t>
            </w:r>
          </w:p>
        </w:tc>
      </w:tr>
      <w:tr w:rsidR="00573878" w:rsidRPr="00D36B98" w:rsidTr="00540962">
        <w:tc>
          <w:tcPr>
            <w:tcW w:w="3085" w:type="dxa"/>
            <w:gridSpan w:val="2"/>
            <w:tcBorders>
              <w:bottom w:val="single" w:sz="4" w:space="0" w:color="auto"/>
            </w:tcBorders>
            <w:shd w:val="clear" w:color="auto" w:fill="B6DDE8" w:themeFill="accent5" w:themeFillTint="66"/>
          </w:tcPr>
          <w:p w:rsidR="00D36B98" w:rsidRPr="009A5B0F" w:rsidRDefault="009A5B0F" w:rsidP="00D36B98">
            <w:pPr>
              <w:jc w:val="center"/>
              <w:rPr>
                <w:rFonts w:ascii="Gotham XNarrow Bold" w:hAnsi="Gotham XNarrow Bold"/>
                <w:sz w:val="20"/>
                <w:szCs w:val="20"/>
              </w:rPr>
            </w:pPr>
            <w:r w:rsidRPr="009A5B0F">
              <w:rPr>
                <w:rFonts w:ascii="Gotham XNarrow Bold" w:hAnsi="Gotham XNarrow Bold"/>
                <w:sz w:val="20"/>
                <w:szCs w:val="20"/>
              </w:rPr>
              <w:t>CATEGORY</w:t>
            </w:r>
          </w:p>
        </w:tc>
        <w:tc>
          <w:tcPr>
            <w:tcW w:w="3402" w:type="dxa"/>
            <w:tcBorders>
              <w:bottom w:val="single" w:sz="4" w:space="0" w:color="auto"/>
            </w:tcBorders>
            <w:shd w:val="clear" w:color="auto" w:fill="B6DDE8" w:themeFill="accent5" w:themeFillTint="66"/>
          </w:tcPr>
          <w:p w:rsidR="00D36B98" w:rsidRPr="009A5B0F" w:rsidRDefault="009A5B0F" w:rsidP="00D36B98">
            <w:pPr>
              <w:jc w:val="center"/>
              <w:rPr>
                <w:rFonts w:ascii="Gotham XNarrow Bold" w:hAnsi="Gotham XNarrow Bold"/>
                <w:sz w:val="20"/>
                <w:szCs w:val="20"/>
              </w:rPr>
            </w:pPr>
            <w:r w:rsidRPr="009A5B0F">
              <w:rPr>
                <w:rFonts w:ascii="Gotham XNarrow Bold" w:hAnsi="Gotham XNarrow Bold"/>
                <w:sz w:val="20"/>
                <w:szCs w:val="20"/>
              </w:rPr>
              <w:t>A</w:t>
            </w:r>
          </w:p>
        </w:tc>
        <w:tc>
          <w:tcPr>
            <w:tcW w:w="2835" w:type="dxa"/>
            <w:tcBorders>
              <w:bottom w:val="single" w:sz="4" w:space="0" w:color="auto"/>
            </w:tcBorders>
            <w:shd w:val="clear" w:color="auto" w:fill="B6DDE8" w:themeFill="accent5" w:themeFillTint="66"/>
          </w:tcPr>
          <w:p w:rsidR="00D36B98" w:rsidRPr="009A5B0F" w:rsidRDefault="009A5B0F" w:rsidP="00D36B98">
            <w:pPr>
              <w:jc w:val="center"/>
              <w:rPr>
                <w:rFonts w:ascii="Gotham XNarrow Bold" w:hAnsi="Gotham XNarrow Bold"/>
                <w:sz w:val="20"/>
                <w:szCs w:val="20"/>
              </w:rPr>
            </w:pPr>
            <w:r w:rsidRPr="009A5B0F">
              <w:rPr>
                <w:rFonts w:ascii="Gotham XNarrow Bold" w:hAnsi="Gotham XNarrow Bold"/>
                <w:sz w:val="20"/>
                <w:szCs w:val="20"/>
              </w:rPr>
              <w:t>B</w:t>
            </w:r>
          </w:p>
        </w:tc>
        <w:tc>
          <w:tcPr>
            <w:tcW w:w="2410" w:type="dxa"/>
            <w:tcBorders>
              <w:bottom w:val="single" w:sz="4" w:space="0" w:color="auto"/>
            </w:tcBorders>
            <w:shd w:val="clear" w:color="auto" w:fill="B6DDE8" w:themeFill="accent5" w:themeFillTint="66"/>
          </w:tcPr>
          <w:p w:rsidR="00D36B98" w:rsidRPr="009A5B0F" w:rsidRDefault="009A5B0F" w:rsidP="00D36B98">
            <w:pPr>
              <w:jc w:val="center"/>
              <w:rPr>
                <w:rFonts w:ascii="Gotham XNarrow Bold" w:hAnsi="Gotham XNarrow Bold"/>
                <w:sz w:val="20"/>
                <w:szCs w:val="20"/>
              </w:rPr>
            </w:pPr>
            <w:r w:rsidRPr="009A5B0F">
              <w:rPr>
                <w:rFonts w:ascii="Gotham XNarrow Bold" w:hAnsi="Gotham XNarrow Bold"/>
                <w:sz w:val="20"/>
                <w:szCs w:val="20"/>
              </w:rPr>
              <w:t>C</w:t>
            </w:r>
          </w:p>
        </w:tc>
        <w:tc>
          <w:tcPr>
            <w:tcW w:w="2126" w:type="dxa"/>
            <w:tcBorders>
              <w:bottom w:val="single" w:sz="4" w:space="0" w:color="auto"/>
            </w:tcBorders>
            <w:shd w:val="clear" w:color="auto" w:fill="B6DDE8" w:themeFill="accent5" w:themeFillTint="66"/>
          </w:tcPr>
          <w:p w:rsidR="00D36B98" w:rsidRPr="009A5B0F" w:rsidRDefault="009A5B0F" w:rsidP="00D36B98">
            <w:pPr>
              <w:jc w:val="center"/>
              <w:rPr>
                <w:rFonts w:ascii="Gotham XNarrow Bold" w:hAnsi="Gotham XNarrow Bold"/>
                <w:sz w:val="20"/>
                <w:szCs w:val="20"/>
              </w:rPr>
            </w:pPr>
            <w:r w:rsidRPr="009A5B0F">
              <w:rPr>
                <w:rFonts w:ascii="Gotham XNarrow Bold" w:hAnsi="Gotham XNarrow Bold"/>
                <w:sz w:val="20"/>
                <w:szCs w:val="20"/>
              </w:rPr>
              <w:t>D</w:t>
            </w:r>
          </w:p>
        </w:tc>
        <w:tc>
          <w:tcPr>
            <w:tcW w:w="1843" w:type="dxa"/>
            <w:tcBorders>
              <w:bottom w:val="single" w:sz="4" w:space="0" w:color="auto"/>
            </w:tcBorders>
            <w:shd w:val="clear" w:color="auto" w:fill="B6DDE8" w:themeFill="accent5" w:themeFillTint="66"/>
          </w:tcPr>
          <w:p w:rsidR="00D36B98" w:rsidRPr="009A5B0F" w:rsidRDefault="009A5B0F" w:rsidP="0039457F">
            <w:pPr>
              <w:jc w:val="center"/>
              <w:rPr>
                <w:rFonts w:ascii="Gotham XNarrow Bold" w:hAnsi="Gotham XNarrow Bold"/>
                <w:sz w:val="20"/>
                <w:szCs w:val="20"/>
              </w:rPr>
            </w:pPr>
            <w:r w:rsidRPr="009A5B0F">
              <w:rPr>
                <w:rFonts w:ascii="Gotham XNarrow Bold" w:hAnsi="Gotham XNarrow Bold"/>
                <w:sz w:val="20"/>
                <w:szCs w:val="20"/>
              </w:rPr>
              <w:t xml:space="preserve">EXPLANATION </w:t>
            </w:r>
          </w:p>
        </w:tc>
      </w:tr>
      <w:tr w:rsidR="0039457F" w:rsidTr="00A91C1B">
        <w:trPr>
          <w:trHeight w:val="557"/>
        </w:trPr>
        <w:tc>
          <w:tcPr>
            <w:tcW w:w="1526" w:type="dxa"/>
            <w:vMerge w:val="restart"/>
            <w:tcBorders>
              <w:top w:val="single" w:sz="4" w:space="0" w:color="auto"/>
              <w:left w:val="single" w:sz="4" w:space="0" w:color="auto"/>
            </w:tcBorders>
            <w:shd w:val="clear" w:color="auto" w:fill="B6DDE8" w:themeFill="accent5" w:themeFillTint="66"/>
            <w:vAlign w:val="center"/>
          </w:tcPr>
          <w:p w:rsidR="0039457F" w:rsidRPr="00314C12" w:rsidRDefault="009A5B0F" w:rsidP="00EB165B">
            <w:pPr>
              <w:jc w:val="center"/>
              <w:rPr>
                <w:rFonts w:ascii="Gotham XNarrow Bold" w:hAnsi="Gotham XNarrow Bold"/>
                <w:sz w:val="20"/>
              </w:rPr>
            </w:pPr>
            <w:r w:rsidRPr="00314C12">
              <w:rPr>
                <w:rFonts w:ascii="Gotham XNarrow Bold" w:hAnsi="Gotham XNarrow Bold"/>
                <w:sz w:val="20"/>
              </w:rPr>
              <w:t>STEWARDSHIP COVERAGE</w:t>
            </w:r>
          </w:p>
        </w:tc>
        <w:tc>
          <w:tcPr>
            <w:tcW w:w="1559" w:type="dxa"/>
            <w:tcBorders>
              <w:top w:val="single" w:sz="4" w:space="0" w:color="auto"/>
              <w:left w:val="single" w:sz="4" w:space="0" w:color="auto"/>
            </w:tcBorders>
            <w:shd w:val="clear" w:color="auto" w:fill="B6DDE8" w:themeFill="accent5" w:themeFillTint="66"/>
            <w:vAlign w:val="center"/>
          </w:tcPr>
          <w:p w:rsidR="0039457F" w:rsidRPr="00314C12" w:rsidRDefault="009A5B0F" w:rsidP="0039457F">
            <w:pPr>
              <w:jc w:val="center"/>
              <w:rPr>
                <w:rFonts w:ascii="Gotham XNarrow Bold" w:hAnsi="Gotham XNarrow Bold"/>
                <w:sz w:val="20"/>
                <w:szCs w:val="20"/>
              </w:rPr>
            </w:pPr>
            <w:r w:rsidRPr="00314C12">
              <w:rPr>
                <w:rFonts w:ascii="Gotham XNarrow Bold" w:hAnsi="Gotham XNarrow Bold"/>
                <w:sz w:val="20"/>
                <w:szCs w:val="20"/>
              </w:rPr>
              <w:t xml:space="preserve">ASSET CLASSES </w:t>
            </w:r>
          </w:p>
        </w:tc>
        <w:tc>
          <w:tcPr>
            <w:tcW w:w="3402" w:type="dxa"/>
            <w:tcBorders>
              <w:top w:val="single" w:sz="4" w:space="0" w:color="auto"/>
              <w:bottom w:val="single" w:sz="4" w:space="0" w:color="auto"/>
            </w:tcBorders>
            <w:shd w:val="clear" w:color="auto" w:fill="auto"/>
          </w:tcPr>
          <w:p w:rsidR="0039457F" w:rsidRPr="00314C12" w:rsidRDefault="0039457F" w:rsidP="009A5B0F">
            <w:pPr>
              <w:rPr>
                <w:rFonts w:ascii="Georgia" w:hAnsi="Georgia" w:cstheme="minorHAnsi"/>
                <w:sz w:val="16"/>
                <w:szCs w:val="16"/>
              </w:rPr>
            </w:pPr>
            <w:r w:rsidRPr="00314C12">
              <w:rPr>
                <w:rFonts w:ascii="Georgia" w:hAnsi="Georgia" w:cstheme="minorHAnsi"/>
                <w:sz w:val="16"/>
                <w:szCs w:val="16"/>
              </w:rPr>
              <w:t xml:space="preserve">Adopts a stewardship approach across the full range of asset classes in which the firm invests – this includes where appropriate public equities, fixed income and real-estate. </w:t>
            </w:r>
          </w:p>
        </w:tc>
        <w:tc>
          <w:tcPr>
            <w:tcW w:w="2835" w:type="dxa"/>
            <w:tcBorders>
              <w:top w:val="single" w:sz="4" w:space="0" w:color="auto"/>
              <w:bottom w:val="single" w:sz="4" w:space="0" w:color="auto"/>
            </w:tcBorders>
            <w:shd w:val="clear" w:color="auto" w:fill="auto"/>
          </w:tcPr>
          <w:p w:rsidR="0039457F" w:rsidRPr="00314C12" w:rsidRDefault="0039457F" w:rsidP="009A5B0F">
            <w:pPr>
              <w:rPr>
                <w:rFonts w:ascii="Georgia" w:hAnsi="Georgia"/>
              </w:rPr>
            </w:pPr>
            <w:r w:rsidRPr="00314C12">
              <w:rPr>
                <w:rFonts w:ascii="Georgia" w:hAnsi="Georgia" w:cstheme="minorHAnsi"/>
                <w:sz w:val="16"/>
                <w:szCs w:val="16"/>
              </w:rPr>
              <w:t xml:space="preserve">Firm adopts a stewardship approach only for certain asset classes in which it invests. </w:t>
            </w:r>
          </w:p>
        </w:tc>
        <w:tc>
          <w:tcPr>
            <w:tcW w:w="2410" w:type="dxa"/>
            <w:tcBorders>
              <w:top w:val="single" w:sz="4" w:space="0" w:color="auto"/>
              <w:bottom w:val="single" w:sz="4" w:space="0" w:color="auto"/>
            </w:tcBorders>
            <w:shd w:val="clear" w:color="auto" w:fill="auto"/>
          </w:tcPr>
          <w:p w:rsidR="0039457F" w:rsidRPr="00314C12" w:rsidRDefault="0039457F" w:rsidP="009A5B0F">
            <w:pPr>
              <w:rPr>
                <w:rFonts w:ascii="Georgia" w:hAnsi="Georgia"/>
              </w:rPr>
            </w:pPr>
            <w:r w:rsidRPr="00314C12">
              <w:rPr>
                <w:rFonts w:ascii="Georgia" w:hAnsi="Georgia" w:cstheme="minorHAnsi"/>
                <w:sz w:val="16"/>
                <w:szCs w:val="16"/>
              </w:rPr>
              <w:t>Firm’s stewardship approach applies only to public equities.</w:t>
            </w:r>
          </w:p>
        </w:tc>
        <w:tc>
          <w:tcPr>
            <w:tcW w:w="2126" w:type="dxa"/>
            <w:tcBorders>
              <w:top w:val="single" w:sz="4" w:space="0" w:color="auto"/>
              <w:bottom w:val="single" w:sz="4" w:space="0" w:color="auto"/>
            </w:tcBorders>
            <w:shd w:val="clear" w:color="auto" w:fill="auto"/>
          </w:tcPr>
          <w:p w:rsidR="0039457F" w:rsidRPr="00314C12" w:rsidRDefault="0039457F" w:rsidP="009A5B0F">
            <w:pPr>
              <w:rPr>
                <w:rFonts w:ascii="Georgia" w:hAnsi="Georgia"/>
              </w:rPr>
            </w:pPr>
            <w:r w:rsidRPr="00314C12">
              <w:rPr>
                <w:rFonts w:ascii="Georgia" w:hAnsi="Georgia" w:cstheme="minorHAnsi"/>
                <w:sz w:val="16"/>
                <w:szCs w:val="16"/>
              </w:rPr>
              <w:t xml:space="preserve">The firm does not adopt a stewardship approach. </w:t>
            </w:r>
          </w:p>
        </w:tc>
        <w:tc>
          <w:tcPr>
            <w:tcW w:w="1843" w:type="dxa"/>
            <w:tcBorders>
              <w:top w:val="single" w:sz="4" w:space="0" w:color="auto"/>
              <w:right w:val="single" w:sz="4" w:space="0" w:color="auto"/>
            </w:tcBorders>
          </w:tcPr>
          <w:p w:rsidR="0039457F" w:rsidRPr="007473E9" w:rsidRDefault="0039457F" w:rsidP="007473E9">
            <w:pPr>
              <w:jc w:val="both"/>
              <w:rPr>
                <w:sz w:val="16"/>
              </w:rPr>
            </w:pPr>
          </w:p>
        </w:tc>
      </w:tr>
      <w:tr w:rsidR="0039457F" w:rsidTr="002A6209">
        <w:trPr>
          <w:trHeight w:val="557"/>
        </w:trPr>
        <w:tc>
          <w:tcPr>
            <w:tcW w:w="1526" w:type="dxa"/>
            <w:vMerge/>
            <w:tcBorders>
              <w:left w:val="single" w:sz="4" w:space="0" w:color="auto"/>
            </w:tcBorders>
            <w:shd w:val="clear" w:color="auto" w:fill="B6DDE8" w:themeFill="accent5" w:themeFillTint="66"/>
            <w:vAlign w:val="center"/>
          </w:tcPr>
          <w:p w:rsidR="0039457F" w:rsidRPr="00314C12" w:rsidRDefault="0039457F" w:rsidP="00EB165B">
            <w:pPr>
              <w:jc w:val="center"/>
              <w:rPr>
                <w:rFonts w:ascii="Gotham XNarrow Bold" w:hAnsi="Gotham XNarrow Bold"/>
                <w:sz w:val="20"/>
              </w:rPr>
            </w:pPr>
          </w:p>
        </w:tc>
        <w:tc>
          <w:tcPr>
            <w:tcW w:w="1559" w:type="dxa"/>
            <w:tcBorders>
              <w:top w:val="single" w:sz="4" w:space="0" w:color="auto"/>
              <w:left w:val="single" w:sz="4" w:space="0" w:color="auto"/>
            </w:tcBorders>
            <w:shd w:val="clear" w:color="auto" w:fill="B6DDE8" w:themeFill="accent5" w:themeFillTint="66"/>
            <w:vAlign w:val="center"/>
          </w:tcPr>
          <w:p w:rsidR="0039457F" w:rsidRPr="00314C12" w:rsidRDefault="009A5B0F" w:rsidP="00902CFC">
            <w:pPr>
              <w:jc w:val="center"/>
              <w:rPr>
                <w:rFonts w:ascii="Gotham XNarrow Bold" w:hAnsi="Gotham XNarrow Bold"/>
                <w:sz w:val="20"/>
                <w:szCs w:val="20"/>
              </w:rPr>
            </w:pPr>
            <w:r w:rsidRPr="00314C12">
              <w:rPr>
                <w:rFonts w:ascii="Gotham XNarrow Bold" w:hAnsi="Gotham XNarrow Bold"/>
                <w:sz w:val="20"/>
                <w:szCs w:val="20"/>
              </w:rPr>
              <w:t>GEOGRAPHIES</w:t>
            </w:r>
          </w:p>
        </w:tc>
        <w:tc>
          <w:tcPr>
            <w:tcW w:w="3402" w:type="dxa"/>
            <w:tcBorders>
              <w:top w:val="single" w:sz="4" w:space="0" w:color="auto"/>
              <w:bottom w:val="single" w:sz="4" w:space="0" w:color="auto"/>
            </w:tcBorders>
            <w:shd w:val="clear" w:color="auto" w:fill="auto"/>
          </w:tcPr>
          <w:p w:rsidR="0039457F" w:rsidRPr="00314C12" w:rsidRDefault="0039457F" w:rsidP="009A5B0F">
            <w:pPr>
              <w:rPr>
                <w:rFonts w:ascii="Georgia" w:hAnsi="Georgia" w:cstheme="minorHAnsi"/>
                <w:sz w:val="16"/>
                <w:szCs w:val="16"/>
              </w:rPr>
            </w:pPr>
            <w:r w:rsidRPr="00314C12">
              <w:rPr>
                <w:rFonts w:ascii="Georgia" w:hAnsi="Georgia" w:cstheme="minorHAnsi"/>
                <w:sz w:val="16"/>
                <w:szCs w:val="16"/>
              </w:rPr>
              <w:t>Adopts a stewardship approach</w:t>
            </w:r>
            <w:r w:rsidR="00BC4D13" w:rsidRPr="00314C12">
              <w:rPr>
                <w:rFonts w:ascii="Georgia" w:hAnsi="Georgia" w:cstheme="minorHAnsi"/>
                <w:sz w:val="16"/>
                <w:szCs w:val="16"/>
              </w:rPr>
              <w:t xml:space="preserve"> (including voting and corporate engagement) </w:t>
            </w:r>
            <w:r w:rsidRPr="00314C12">
              <w:rPr>
                <w:rFonts w:ascii="Georgia" w:hAnsi="Georgia" w:cstheme="minorHAnsi"/>
                <w:sz w:val="16"/>
                <w:szCs w:val="16"/>
              </w:rPr>
              <w:t xml:space="preserve">in all geographies in which it invests. </w:t>
            </w:r>
          </w:p>
        </w:tc>
        <w:tc>
          <w:tcPr>
            <w:tcW w:w="2835" w:type="dxa"/>
            <w:tcBorders>
              <w:top w:val="single" w:sz="4" w:space="0" w:color="auto"/>
              <w:bottom w:val="single" w:sz="4" w:space="0" w:color="auto"/>
            </w:tcBorders>
            <w:shd w:val="clear" w:color="auto" w:fill="auto"/>
          </w:tcPr>
          <w:p w:rsidR="0039457F" w:rsidRPr="00314C12" w:rsidRDefault="0039457F" w:rsidP="009A5B0F">
            <w:pPr>
              <w:rPr>
                <w:rFonts w:ascii="Georgia" w:hAnsi="Georgia"/>
              </w:rPr>
            </w:pPr>
            <w:r w:rsidRPr="00314C12">
              <w:rPr>
                <w:rFonts w:ascii="Georgia" w:hAnsi="Georgia" w:cstheme="minorHAnsi"/>
                <w:sz w:val="16"/>
                <w:szCs w:val="16"/>
              </w:rPr>
              <w:t>Firm adopts a stewardship approach</w:t>
            </w:r>
            <w:r w:rsidR="00BC4D13" w:rsidRPr="00314C12">
              <w:rPr>
                <w:rFonts w:ascii="Georgia" w:hAnsi="Georgia" w:cstheme="minorHAnsi"/>
                <w:sz w:val="16"/>
                <w:szCs w:val="16"/>
              </w:rPr>
              <w:t xml:space="preserve"> (including voting and corporate engagement) </w:t>
            </w:r>
            <w:r w:rsidRPr="00314C12">
              <w:rPr>
                <w:rFonts w:ascii="Georgia" w:hAnsi="Georgia" w:cstheme="minorHAnsi"/>
                <w:sz w:val="16"/>
                <w:szCs w:val="16"/>
              </w:rPr>
              <w:t xml:space="preserve">for certain geographies in which it invests. </w:t>
            </w:r>
          </w:p>
        </w:tc>
        <w:tc>
          <w:tcPr>
            <w:tcW w:w="2410" w:type="dxa"/>
            <w:tcBorders>
              <w:top w:val="single" w:sz="4" w:space="0" w:color="auto"/>
              <w:bottom w:val="single" w:sz="4" w:space="0" w:color="auto"/>
            </w:tcBorders>
            <w:shd w:val="clear" w:color="auto" w:fill="auto"/>
          </w:tcPr>
          <w:p w:rsidR="0039457F" w:rsidRPr="00314C12" w:rsidRDefault="0039457F" w:rsidP="009A5B0F">
            <w:pPr>
              <w:rPr>
                <w:rFonts w:ascii="Georgia" w:hAnsi="Georgia"/>
              </w:rPr>
            </w:pPr>
            <w:r w:rsidRPr="00314C12">
              <w:rPr>
                <w:rFonts w:ascii="Georgia" w:hAnsi="Georgia" w:cstheme="minorHAnsi"/>
                <w:sz w:val="16"/>
                <w:szCs w:val="16"/>
              </w:rPr>
              <w:t xml:space="preserve">Firm’s stewardship approach </w:t>
            </w:r>
            <w:r w:rsidR="00BC4D13" w:rsidRPr="00314C12">
              <w:rPr>
                <w:rFonts w:ascii="Georgia" w:hAnsi="Georgia" w:cstheme="minorHAnsi"/>
                <w:sz w:val="16"/>
                <w:szCs w:val="16"/>
              </w:rPr>
              <w:t xml:space="preserve">(including voting and corporate engagement) </w:t>
            </w:r>
            <w:r w:rsidRPr="00314C12">
              <w:rPr>
                <w:rFonts w:ascii="Georgia" w:hAnsi="Georgia" w:cstheme="minorHAnsi"/>
                <w:sz w:val="16"/>
                <w:szCs w:val="16"/>
              </w:rPr>
              <w:t>applies only to the UK.</w:t>
            </w:r>
          </w:p>
        </w:tc>
        <w:tc>
          <w:tcPr>
            <w:tcW w:w="2126" w:type="dxa"/>
            <w:tcBorders>
              <w:top w:val="single" w:sz="4" w:space="0" w:color="auto"/>
              <w:bottom w:val="single" w:sz="4" w:space="0" w:color="auto"/>
            </w:tcBorders>
            <w:shd w:val="clear" w:color="auto" w:fill="auto"/>
          </w:tcPr>
          <w:p w:rsidR="0039457F" w:rsidRPr="00314C12" w:rsidRDefault="0039457F" w:rsidP="009A5B0F">
            <w:pPr>
              <w:rPr>
                <w:rFonts w:ascii="Georgia" w:hAnsi="Georgia"/>
              </w:rPr>
            </w:pPr>
            <w:r w:rsidRPr="00314C12">
              <w:rPr>
                <w:rFonts w:ascii="Georgia" w:hAnsi="Georgia" w:cstheme="minorHAnsi"/>
                <w:sz w:val="16"/>
                <w:szCs w:val="16"/>
              </w:rPr>
              <w:t>The firm does not adopt a stewardship approach</w:t>
            </w:r>
            <w:r w:rsidR="00BC4D13" w:rsidRPr="00314C12">
              <w:rPr>
                <w:rFonts w:ascii="Georgia" w:hAnsi="Georgia" w:cstheme="minorHAnsi"/>
                <w:sz w:val="16"/>
                <w:szCs w:val="16"/>
              </w:rPr>
              <w:t xml:space="preserve"> (including voting and corporate engagement)</w:t>
            </w:r>
            <w:r w:rsidRPr="00314C12">
              <w:rPr>
                <w:rFonts w:ascii="Georgia" w:hAnsi="Georgia" w:cstheme="minorHAnsi"/>
                <w:sz w:val="16"/>
                <w:szCs w:val="16"/>
              </w:rPr>
              <w:t xml:space="preserve">. </w:t>
            </w:r>
          </w:p>
        </w:tc>
        <w:tc>
          <w:tcPr>
            <w:tcW w:w="1843" w:type="dxa"/>
            <w:tcBorders>
              <w:top w:val="single" w:sz="4" w:space="0" w:color="auto"/>
              <w:right w:val="single" w:sz="4" w:space="0" w:color="auto"/>
            </w:tcBorders>
          </w:tcPr>
          <w:p w:rsidR="0039457F" w:rsidRPr="007473E9" w:rsidRDefault="0039457F" w:rsidP="007473E9">
            <w:pPr>
              <w:jc w:val="both"/>
              <w:rPr>
                <w:sz w:val="16"/>
              </w:rPr>
            </w:pPr>
          </w:p>
        </w:tc>
      </w:tr>
      <w:tr w:rsidR="00EB165B" w:rsidTr="00DD76C5">
        <w:trPr>
          <w:trHeight w:val="672"/>
        </w:trPr>
        <w:tc>
          <w:tcPr>
            <w:tcW w:w="1526" w:type="dxa"/>
            <w:vMerge w:val="restart"/>
            <w:tcBorders>
              <w:top w:val="single" w:sz="4" w:space="0" w:color="auto"/>
              <w:left w:val="single" w:sz="4" w:space="0" w:color="auto"/>
              <w:bottom w:val="single" w:sz="4" w:space="0" w:color="auto"/>
            </w:tcBorders>
            <w:shd w:val="clear" w:color="auto" w:fill="B6DDE8" w:themeFill="accent5" w:themeFillTint="66"/>
            <w:vAlign w:val="center"/>
          </w:tcPr>
          <w:p w:rsidR="00EB165B" w:rsidRPr="00314C12" w:rsidRDefault="009A5B0F" w:rsidP="007B2C2B">
            <w:pPr>
              <w:jc w:val="center"/>
              <w:rPr>
                <w:rFonts w:ascii="Gotham XNarrow Bold" w:hAnsi="Gotham XNarrow Bold"/>
                <w:sz w:val="20"/>
              </w:rPr>
            </w:pPr>
            <w:r w:rsidRPr="00314C12">
              <w:rPr>
                <w:rFonts w:ascii="Gotham XNarrow Bold" w:hAnsi="Gotham XNarrow Bold"/>
                <w:sz w:val="20"/>
              </w:rPr>
              <w:t>PUBLIC TRANSPARENCY</w:t>
            </w:r>
          </w:p>
          <w:p w:rsidR="00EB165B" w:rsidRPr="00314C12" w:rsidRDefault="00EB165B" w:rsidP="007B2C2B">
            <w:pPr>
              <w:jc w:val="center"/>
              <w:rPr>
                <w:rFonts w:ascii="Gotham XNarrow Bold" w:hAnsi="Gotham XNarrow Bold"/>
                <w:i/>
              </w:rPr>
            </w:pPr>
          </w:p>
        </w:tc>
        <w:tc>
          <w:tcPr>
            <w:tcW w:w="1559" w:type="dxa"/>
            <w:vMerge w:val="restart"/>
            <w:tcBorders>
              <w:top w:val="single" w:sz="4" w:space="0" w:color="auto"/>
              <w:left w:val="single" w:sz="4" w:space="0" w:color="auto"/>
              <w:bottom w:val="single" w:sz="4" w:space="0" w:color="auto"/>
            </w:tcBorders>
            <w:shd w:val="clear" w:color="auto" w:fill="B6DDE8" w:themeFill="accent5" w:themeFillTint="66"/>
            <w:vAlign w:val="center"/>
          </w:tcPr>
          <w:p w:rsidR="00EB165B" w:rsidRPr="00314C12" w:rsidRDefault="009A5B0F" w:rsidP="00902CFC">
            <w:pPr>
              <w:jc w:val="center"/>
              <w:rPr>
                <w:rFonts w:ascii="Gotham XNarrow Bold" w:hAnsi="Gotham XNarrow Bold"/>
                <w:sz w:val="20"/>
                <w:szCs w:val="20"/>
              </w:rPr>
            </w:pPr>
            <w:r w:rsidRPr="00314C12">
              <w:rPr>
                <w:rFonts w:ascii="Gotham XNarrow Bold" w:hAnsi="Gotham XNarrow Bold"/>
                <w:sz w:val="20"/>
                <w:szCs w:val="20"/>
              </w:rPr>
              <w:t>STEWARDSHIP POLICY DI</w:t>
            </w:r>
            <w:bookmarkStart w:id="0" w:name="_GoBack"/>
            <w:r w:rsidRPr="00314C12">
              <w:rPr>
                <w:rFonts w:ascii="Gotham XNarrow Bold" w:hAnsi="Gotham XNarrow Bold"/>
                <w:sz w:val="20"/>
                <w:szCs w:val="20"/>
              </w:rPr>
              <w:t>SCLOSURE</w:t>
            </w:r>
            <w:bookmarkEnd w:id="0"/>
          </w:p>
        </w:tc>
        <w:tc>
          <w:tcPr>
            <w:tcW w:w="3402" w:type="dxa"/>
            <w:tcBorders>
              <w:top w:val="single" w:sz="4" w:space="0" w:color="auto"/>
              <w:bottom w:val="single" w:sz="4" w:space="0" w:color="auto"/>
            </w:tcBorders>
            <w:shd w:val="clear" w:color="auto" w:fill="auto"/>
          </w:tcPr>
          <w:p w:rsidR="00EB165B" w:rsidRPr="00314C12" w:rsidRDefault="00EB165B" w:rsidP="009A5B0F">
            <w:pPr>
              <w:rPr>
                <w:rFonts w:ascii="Georgia" w:hAnsi="Georgia" w:cstheme="minorHAnsi"/>
                <w:sz w:val="16"/>
                <w:szCs w:val="16"/>
              </w:rPr>
            </w:pPr>
            <w:r w:rsidRPr="00314C12">
              <w:rPr>
                <w:rFonts w:ascii="Georgia" w:hAnsi="Georgia" w:cstheme="minorHAnsi"/>
                <w:sz w:val="16"/>
                <w:szCs w:val="16"/>
              </w:rPr>
              <w:t xml:space="preserve">Stewardship policy </w:t>
            </w:r>
            <w:r w:rsidR="00A91C1B" w:rsidRPr="00314C12">
              <w:rPr>
                <w:rFonts w:ascii="Georgia" w:hAnsi="Georgia" w:cstheme="minorHAnsi"/>
                <w:sz w:val="16"/>
                <w:szCs w:val="16"/>
              </w:rPr>
              <w:t xml:space="preserve">is </w:t>
            </w:r>
            <w:r w:rsidRPr="00314C12">
              <w:rPr>
                <w:rFonts w:ascii="Georgia" w:hAnsi="Georgia" w:cstheme="minorHAnsi"/>
                <w:sz w:val="16"/>
                <w:szCs w:val="16"/>
              </w:rPr>
              <w:t xml:space="preserve">reviewed and updated </w:t>
            </w:r>
            <w:r w:rsidR="005B757C" w:rsidRPr="00314C12">
              <w:rPr>
                <w:rFonts w:ascii="Georgia" w:hAnsi="Georgia" w:cstheme="minorHAnsi"/>
                <w:sz w:val="16"/>
                <w:szCs w:val="16"/>
              </w:rPr>
              <w:t>annually</w:t>
            </w:r>
            <w:r w:rsidR="0039457F" w:rsidRPr="00314C12">
              <w:rPr>
                <w:rFonts w:ascii="Georgia" w:hAnsi="Georgia" w:cstheme="minorHAnsi"/>
                <w:sz w:val="16"/>
                <w:szCs w:val="16"/>
              </w:rPr>
              <w:t xml:space="preserve">, </w:t>
            </w:r>
            <w:r w:rsidR="00A91C1B" w:rsidRPr="00314C12">
              <w:rPr>
                <w:rFonts w:ascii="Georgia" w:hAnsi="Georgia" w:cstheme="minorHAnsi"/>
                <w:sz w:val="16"/>
                <w:szCs w:val="16"/>
              </w:rPr>
              <w:t xml:space="preserve">is </w:t>
            </w:r>
            <w:r w:rsidRPr="00314C12">
              <w:rPr>
                <w:rFonts w:ascii="Georgia" w:hAnsi="Georgia" w:cstheme="minorHAnsi"/>
                <w:sz w:val="16"/>
                <w:szCs w:val="16"/>
              </w:rPr>
              <w:t>publicly available on the firm’s website</w:t>
            </w:r>
            <w:r w:rsidR="00A91C1B" w:rsidRPr="00314C12">
              <w:rPr>
                <w:rFonts w:ascii="Georgia" w:hAnsi="Georgia" w:cstheme="minorHAnsi"/>
                <w:sz w:val="16"/>
                <w:szCs w:val="16"/>
              </w:rPr>
              <w:t xml:space="preserve"> and </w:t>
            </w:r>
            <w:r w:rsidRPr="00314C12">
              <w:rPr>
                <w:rFonts w:ascii="Georgia" w:hAnsi="Georgia" w:cstheme="minorHAnsi"/>
                <w:sz w:val="16"/>
                <w:szCs w:val="16"/>
              </w:rPr>
              <w:t xml:space="preserve">includes </w:t>
            </w:r>
            <w:r w:rsidR="00540962" w:rsidRPr="00314C12">
              <w:rPr>
                <w:rFonts w:ascii="Georgia" w:hAnsi="Georgia" w:cstheme="minorHAnsi"/>
                <w:sz w:val="16"/>
                <w:szCs w:val="16"/>
              </w:rPr>
              <w:t>relevant information for each relevant asset class and geography</w:t>
            </w:r>
            <w:r w:rsidR="0039457F" w:rsidRPr="00314C12">
              <w:rPr>
                <w:rFonts w:ascii="Georgia" w:hAnsi="Georgia" w:cstheme="minorHAnsi"/>
                <w:sz w:val="16"/>
                <w:szCs w:val="16"/>
              </w:rPr>
              <w:t>.</w:t>
            </w:r>
          </w:p>
        </w:tc>
        <w:tc>
          <w:tcPr>
            <w:tcW w:w="2835" w:type="dxa"/>
            <w:tcBorders>
              <w:top w:val="single" w:sz="4" w:space="0" w:color="auto"/>
              <w:bottom w:val="single" w:sz="4" w:space="0" w:color="auto"/>
            </w:tcBorders>
            <w:shd w:val="clear" w:color="auto" w:fill="auto"/>
          </w:tcPr>
          <w:p w:rsidR="00EB165B" w:rsidRPr="00314C12" w:rsidRDefault="00EB165B" w:rsidP="009A5B0F">
            <w:pPr>
              <w:rPr>
                <w:rFonts w:ascii="Georgia" w:hAnsi="Georgia" w:cstheme="minorHAnsi"/>
                <w:sz w:val="16"/>
                <w:szCs w:val="16"/>
              </w:rPr>
            </w:pPr>
            <w:r w:rsidRPr="00314C12">
              <w:rPr>
                <w:rFonts w:ascii="Georgia" w:hAnsi="Georgia" w:cstheme="minorHAnsi"/>
                <w:sz w:val="16"/>
                <w:szCs w:val="16"/>
              </w:rPr>
              <w:t xml:space="preserve">Stewardship policy </w:t>
            </w:r>
            <w:r w:rsidR="005B757C" w:rsidRPr="00314C12">
              <w:rPr>
                <w:rFonts w:ascii="Georgia" w:hAnsi="Georgia" w:cstheme="minorHAnsi"/>
                <w:sz w:val="16"/>
                <w:szCs w:val="16"/>
              </w:rPr>
              <w:t xml:space="preserve">is </w:t>
            </w:r>
            <w:r w:rsidRPr="00314C12">
              <w:rPr>
                <w:rFonts w:ascii="Georgia" w:hAnsi="Georgia" w:cstheme="minorHAnsi"/>
                <w:sz w:val="16"/>
                <w:szCs w:val="16"/>
              </w:rPr>
              <w:t xml:space="preserve">reviewed and updated </w:t>
            </w:r>
            <w:r w:rsidR="00A91C1B" w:rsidRPr="00314C12">
              <w:rPr>
                <w:rFonts w:ascii="Georgia" w:hAnsi="Georgia" w:cstheme="minorHAnsi"/>
                <w:sz w:val="16"/>
                <w:szCs w:val="16"/>
              </w:rPr>
              <w:t xml:space="preserve">annually </w:t>
            </w:r>
            <w:r w:rsidRPr="00314C12">
              <w:rPr>
                <w:rFonts w:ascii="Georgia" w:hAnsi="Georgia" w:cstheme="minorHAnsi"/>
                <w:sz w:val="16"/>
                <w:szCs w:val="16"/>
              </w:rPr>
              <w:t xml:space="preserve">and </w:t>
            </w:r>
            <w:r w:rsidR="00A91C1B" w:rsidRPr="00314C12">
              <w:rPr>
                <w:rFonts w:ascii="Georgia" w:hAnsi="Georgia" w:cstheme="minorHAnsi"/>
                <w:sz w:val="16"/>
                <w:szCs w:val="16"/>
              </w:rPr>
              <w:t xml:space="preserve">is </w:t>
            </w:r>
            <w:r w:rsidRPr="00314C12">
              <w:rPr>
                <w:rFonts w:ascii="Georgia" w:hAnsi="Georgia" w:cstheme="minorHAnsi"/>
                <w:sz w:val="16"/>
                <w:szCs w:val="16"/>
              </w:rPr>
              <w:t>publicly a</w:t>
            </w:r>
            <w:r w:rsidR="0039457F" w:rsidRPr="00314C12">
              <w:rPr>
                <w:rFonts w:ascii="Georgia" w:hAnsi="Georgia" w:cstheme="minorHAnsi"/>
                <w:sz w:val="16"/>
                <w:szCs w:val="16"/>
              </w:rPr>
              <w:t>vailable on the firm’s website</w:t>
            </w:r>
            <w:r w:rsidR="00540962" w:rsidRPr="00314C12">
              <w:rPr>
                <w:rFonts w:ascii="Georgia" w:hAnsi="Georgia" w:cstheme="minorHAnsi"/>
                <w:sz w:val="16"/>
                <w:szCs w:val="16"/>
              </w:rPr>
              <w:t>.</w:t>
            </w:r>
          </w:p>
        </w:tc>
        <w:tc>
          <w:tcPr>
            <w:tcW w:w="2410" w:type="dxa"/>
            <w:tcBorders>
              <w:top w:val="single" w:sz="4" w:space="0" w:color="auto"/>
              <w:bottom w:val="single" w:sz="4" w:space="0" w:color="auto"/>
            </w:tcBorders>
            <w:shd w:val="clear" w:color="auto" w:fill="auto"/>
          </w:tcPr>
          <w:p w:rsidR="00EB165B" w:rsidRPr="00314C12" w:rsidRDefault="00EB165B" w:rsidP="009A5B0F">
            <w:pPr>
              <w:rPr>
                <w:rFonts w:ascii="Georgia" w:hAnsi="Georgia" w:cstheme="minorHAnsi"/>
                <w:sz w:val="16"/>
                <w:szCs w:val="16"/>
              </w:rPr>
            </w:pPr>
            <w:r w:rsidRPr="00314C12">
              <w:rPr>
                <w:rFonts w:ascii="Georgia" w:hAnsi="Georgia" w:cstheme="minorHAnsi"/>
                <w:sz w:val="16"/>
                <w:szCs w:val="16"/>
              </w:rPr>
              <w:t>Stewardship policy</w:t>
            </w:r>
            <w:r w:rsidR="005B757C" w:rsidRPr="00314C12">
              <w:rPr>
                <w:rFonts w:ascii="Georgia" w:hAnsi="Georgia" w:cstheme="minorHAnsi"/>
                <w:sz w:val="16"/>
                <w:szCs w:val="16"/>
              </w:rPr>
              <w:t xml:space="preserve"> was</w:t>
            </w:r>
            <w:r w:rsidRPr="00314C12">
              <w:rPr>
                <w:rFonts w:ascii="Georgia" w:hAnsi="Georgia" w:cstheme="minorHAnsi"/>
                <w:sz w:val="16"/>
                <w:szCs w:val="16"/>
              </w:rPr>
              <w:t xml:space="preserve"> reviewed and updated in the last 2 years and available on the firm’s website.</w:t>
            </w:r>
          </w:p>
        </w:tc>
        <w:tc>
          <w:tcPr>
            <w:tcW w:w="2126" w:type="dxa"/>
            <w:tcBorders>
              <w:top w:val="single" w:sz="4" w:space="0" w:color="auto"/>
              <w:bottom w:val="single" w:sz="4" w:space="0" w:color="auto"/>
            </w:tcBorders>
            <w:shd w:val="clear" w:color="auto" w:fill="auto"/>
          </w:tcPr>
          <w:p w:rsidR="00EB165B" w:rsidRPr="00314C12" w:rsidRDefault="00EB165B" w:rsidP="009A5B0F">
            <w:pPr>
              <w:rPr>
                <w:rFonts w:ascii="Georgia" w:hAnsi="Georgia" w:cstheme="minorHAnsi"/>
                <w:sz w:val="16"/>
                <w:szCs w:val="16"/>
              </w:rPr>
            </w:pPr>
            <w:r w:rsidRPr="00314C12">
              <w:rPr>
                <w:rFonts w:ascii="Georgia" w:hAnsi="Georgia" w:cstheme="minorHAnsi"/>
                <w:sz w:val="16"/>
                <w:szCs w:val="16"/>
              </w:rPr>
              <w:t>Stewardship policy is not publicly disclosed.</w:t>
            </w:r>
          </w:p>
        </w:tc>
        <w:tc>
          <w:tcPr>
            <w:tcW w:w="1843" w:type="dxa"/>
            <w:vMerge w:val="restart"/>
            <w:tcBorders>
              <w:top w:val="single" w:sz="4" w:space="0" w:color="auto"/>
              <w:bottom w:val="single" w:sz="4" w:space="0" w:color="auto"/>
              <w:right w:val="single" w:sz="4" w:space="0" w:color="auto"/>
            </w:tcBorders>
          </w:tcPr>
          <w:p w:rsidR="00EB165B" w:rsidRPr="007473E9" w:rsidRDefault="00EB165B" w:rsidP="007473E9">
            <w:pPr>
              <w:jc w:val="both"/>
              <w:rPr>
                <w:sz w:val="16"/>
                <w:szCs w:val="16"/>
              </w:rPr>
            </w:pPr>
          </w:p>
        </w:tc>
      </w:tr>
      <w:tr w:rsidR="00EB165B" w:rsidTr="00E1674F">
        <w:trPr>
          <w:trHeight w:val="122"/>
        </w:trPr>
        <w:tc>
          <w:tcPr>
            <w:tcW w:w="1526" w:type="dxa"/>
            <w:vMerge/>
            <w:tcBorders>
              <w:left w:val="single" w:sz="4" w:space="0" w:color="auto"/>
            </w:tcBorders>
            <w:shd w:val="clear" w:color="auto" w:fill="B6DDE8" w:themeFill="accent5" w:themeFillTint="66"/>
            <w:vAlign w:val="center"/>
          </w:tcPr>
          <w:p w:rsidR="00EB165B" w:rsidRPr="00314C12" w:rsidRDefault="00EB165B" w:rsidP="007B2C2B">
            <w:pPr>
              <w:jc w:val="center"/>
              <w:rPr>
                <w:rFonts w:ascii="Gotham XNarrow Bold" w:hAnsi="Gotham XNarrow Bold"/>
              </w:rPr>
            </w:pPr>
          </w:p>
        </w:tc>
        <w:tc>
          <w:tcPr>
            <w:tcW w:w="1559" w:type="dxa"/>
            <w:vMerge/>
            <w:tcBorders>
              <w:left w:val="single" w:sz="4" w:space="0" w:color="auto"/>
            </w:tcBorders>
            <w:shd w:val="clear" w:color="auto" w:fill="B6DDE8" w:themeFill="accent5" w:themeFillTint="66"/>
            <w:vAlign w:val="center"/>
          </w:tcPr>
          <w:p w:rsidR="00EB165B" w:rsidRPr="00314C12" w:rsidRDefault="00EB165B" w:rsidP="007B2C2B">
            <w:pPr>
              <w:jc w:val="center"/>
              <w:rPr>
                <w:rFonts w:ascii="Gotham XNarrow Bold" w:hAnsi="Gotham XNarrow Bold"/>
                <w:sz w:val="20"/>
                <w:szCs w:val="20"/>
              </w:rPr>
            </w:pPr>
          </w:p>
        </w:tc>
        <w:tc>
          <w:tcPr>
            <w:tcW w:w="10773" w:type="dxa"/>
            <w:gridSpan w:val="4"/>
            <w:tcBorders>
              <w:top w:val="single" w:sz="4" w:space="0" w:color="auto"/>
            </w:tcBorders>
            <w:shd w:val="clear" w:color="auto" w:fill="F2F2F2" w:themeFill="background1" w:themeFillShade="F2"/>
          </w:tcPr>
          <w:p w:rsidR="00EB165B" w:rsidRDefault="007A782D" w:rsidP="009A5B0F">
            <w:pPr>
              <w:rPr>
                <w:rFonts w:cstheme="minorHAnsi"/>
                <w:sz w:val="16"/>
                <w:szCs w:val="16"/>
              </w:rPr>
            </w:pPr>
            <w:r>
              <w:rPr>
                <w:rFonts w:cstheme="minorHAnsi"/>
                <w:sz w:val="16"/>
                <w:szCs w:val="16"/>
              </w:rPr>
              <w:t xml:space="preserve">&lt;&lt;Insert web link here&gt;&gt; </w:t>
            </w:r>
          </w:p>
        </w:tc>
        <w:tc>
          <w:tcPr>
            <w:tcW w:w="1843" w:type="dxa"/>
            <w:vMerge/>
            <w:tcBorders>
              <w:right w:val="single" w:sz="4" w:space="0" w:color="auto"/>
            </w:tcBorders>
          </w:tcPr>
          <w:p w:rsidR="00EB165B" w:rsidRPr="007473E9" w:rsidRDefault="00EB165B" w:rsidP="007473E9">
            <w:pPr>
              <w:jc w:val="both"/>
              <w:rPr>
                <w:sz w:val="16"/>
                <w:szCs w:val="16"/>
              </w:rPr>
            </w:pPr>
          </w:p>
        </w:tc>
      </w:tr>
      <w:tr w:rsidR="00A91C1B" w:rsidTr="00A91C1B">
        <w:trPr>
          <w:trHeight w:val="122"/>
        </w:trPr>
        <w:tc>
          <w:tcPr>
            <w:tcW w:w="1526" w:type="dxa"/>
            <w:vMerge/>
            <w:tcBorders>
              <w:left w:val="single" w:sz="4" w:space="0" w:color="auto"/>
            </w:tcBorders>
            <w:shd w:val="clear" w:color="auto" w:fill="B6DDE8" w:themeFill="accent5" w:themeFillTint="66"/>
            <w:vAlign w:val="center"/>
          </w:tcPr>
          <w:p w:rsidR="00006366" w:rsidRPr="00314C12" w:rsidRDefault="00006366" w:rsidP="007B2C2B">
            <w:pPr>
              <w:jc w:val="center"/>
              <w:rPr>
                <w:rFonts w:ascii="Gotham XNarrow Bold" w:hAnsi="Gotham XNarrow Bold"/>
              </w:rPr>
            </w:pPr>
          </w:p>
        </w:tc>
        <w:tc>
          <w:tcPr>
            <w:tcW w:w="1559" w:type="dxa"/>
            <w:tcBorders>
              <w:left w:val="single" w:sz="4" w:space="0" w:color="auto"/>
            </w:tcBorders>
            <w:shd w:val="clear" w:color="auto" w:fill="B6DDE8" w:themeFill="accent5" w:themeFillTint="66"/>
            <w:vAlign w:val="center"/>
          </w:tcPr>
          <w:p w:rsidR="00006366" w:rsidRPr="00314C12" w:rsidRDefault="009A5B0F" w:rsidP="007B2C2B">
            <w:pPr>
              <w:jc w:val="center"/>
              <w:rPr>
                <w:rFonts w:ascii="Gotham XNarrow Bold" w:hAnsi="Gotham XNarrow Bold"/>
                <w:sz w:val="20"/>
                <w:szCs w:val="20"/>
              </w:rPr>
            </w:pPr>
            <w:r w:rsidRPr="00314C12">
              <w:rPr>
                <w:rFonts w:ascii="Gotham XNarrow Bold" w:hAnsi="Gotham XNarrow Bold"/>
                <w:sz w:val="20"/>
                <w:szCs w:val="20"/>
              </w:rPr>
              <w:t>VOTING DISCLOSURE</w:t>
            </w:r>
          </w:p>
        </w:tc>
        <w:tc>
          <w:tcPr>
            <w:tcW w:w="3402" w:type="dxa"/>
            <w:tcBorders>
              <w:top w:val="single" w:sz="4" w:space="0" w:color="auto"/>
            </w:tcBorders>
            <w:shd w:val="clear" w:color="auto" w:fill="auto"/>
          </w:tcPr>
          <w:p w:rsidR="00006366" w:rsidRPr="00314C12" w:rsidRDefault="00006366" w:rsidP="009A5B0F">
            <w:pPr>
              <w:rPr>
                <w:rFonts w:ascii="Georgia" w:hAnsi="Georgia" w:cstheme="minorHAnsi"/>
                <w:sz w:val="16"/>
                <w:szCs w:val="16"/>
              </w:rPr>
            </w:pPr>
            <w:r w:rsidRPr="00314C12">
              <w:rPr>
                <w:rFonts w:ascii="Georgia" w:hAnsi="Georgia" w:cstheme="minorHAnsi"/>
                <w:sz w:val="16"/>
                <w:szCs w:val="16"/>
              </w:rPr>
              <w:t>Comprehensive public disclosure of full voting record</w:t>
            </w:r>
            <w:r w:rsidR="00F52B5A" w:rsidRPr="00314C12">
              <w:rPr>
                <w:rFonts w:ascii="Georgia" w:hAnsi="Georgia" w:cstheme="minorHAnsi"/>
                <w:sz w:val="16"/>
                <w:szCs w:val="16"/>
              </w:rPr>
              <w:t xml:space="preserve"> with explanations </w:t>
            </w:r>
            <w:r w:rsidR="00E71554" w:rsidRPr="00314C12">
              <w:rPr>
                <w:rFonts w:ascii="Georgia" w:hAnsi="Georgia" w:cstheme="minorHAnsi"/>
                <w:sz w:val="16"/>
                <w:szCs w:val="16"/>
              </w:rPr>
              <w:t xml:space="preserve">given for </w:t>
            </w:r>
            <w:r w:rsidR="00F52B5A" w:rsidRPr="00314C12">
              <w:rPr>
                <w:rFonts w:ascii="Georgia" w:hAnsi="Georgia" w:cstheme="minorHAnsi"/>
                <w:sz w:val="16"/>
                <w:szCs w:val="16"/>
              </w:rPr>
              <w:t>key votes</w:t>
            </w:r>
            <w:r w:rsidR="00B57D19" w:rsidRPr="00314C12">
              <w:rPr>
                <w:rFonts w:ascii="Georgia" w:hAnsi="Georgia" w:cstheme="minorHAnsi"/>
                <w:sz w:val="16"/>
                <w:szCs w:val="16"/>
              </w:rPr>
              <w:t xml:space="preserve"> and votes against management</w:t>
            </w:r>
            <w:r w:rsidRPr="00314C12">
              <w:rPr>
                <w:rFonts w:ascii="Georgia" w:hAnsi="Georgia" w:cstheme="minorHAnsi"/>
                <w:sz w:val="16"/>
                <w:szCs w:val="16"/>
              </w:rPr>
              <w:t>.</w:t>
            </w:r>
          </w:p>
        </w:tc>
        <w:tc>
          <w:tcPr>
            <w:tcW w:w="2835" w:type="dxa"/>
            <w:tcBorders>
              <w:top w:val="single" w:sz="4" w:space="0" w:color="auto"/>
            </w:tcBorders>
            <w:shd w:val="clear" w:color="auto" w:fill="auto"/>
          </w:tcPr>
          <w:p w:rsidR="00006366" w:rsidRPr="00314C12" w:rsidRDefault="00006366" w:rsidP="009A5B0F">
            <w:pPr>
              <w:rPr>
                <w:rFonts w:ascii="Georgia" w:hAnsi="Georgia" w:cstheme="minorHAnsi"/>
                <w:sz w:val="16"/>
                <w:szCs w:val="16"/>
              </w:rPr>
            </w:pPr>
            <w:r w:rsidRPr="00314C12">
              <w:rPr>
                <w:rFonts w:ascii="Georgia" w:hAnsi="Georgia" w:cstheme="minorHAnsi"/>
                <w:sz w:val="16"/>
                <w:szCs w:val="16"/>
              </w:rPr>
              <w:t>Public disc</w:t>
            </w:r>
            <w:r w:rsidR="007057B2" w:rsidRPr="00314C12">
              <w:rPr>
                <w:rFonts w:ascii="Georgia" w:hAnsi="Georgia" w:cstheme="minorHAnsi"/>
                <w:sz w:val="16"/>
                <w:szCs w:val="16"/>
              </w:rPr>
              <w:t xml:space="preserve">losure of </w:t>
            </w:r>
            <w:r w:rsidR="00B57D19" w:rsidRPr="00314C12">
              <w:rPr>
                <w:rFonts w:ascii="Georgia" w:hAnsi="Georgia" w:cstheme="minorHAnsi"/>
                <w:sz w:val="16"/>
                <w:szCs w:val="16"/>
              </w:rPr>
              <w:t xml:space="preserve">full </w:t>
            </w:r>
            <w:r w:rsidR="007057B2" w:rsidRPr="00314C12">
              <w:rPr>
                <w:rFonts w:ascii="Georgia" w:hAnsi="Georgia" w:cstheme="minorHAnsi"/>
                <w:sz w:val="16"/>
                <w:szCs w:val="16"/>
              </w:rPr>
              <w:t xml:space="preserve">voting record </w:t>
            </w:r>
            <w:r w:rsidR="00B57D19" w:rsidRPr="00314C12">
              <w:rPr>
                <w:rFonts w:ascii="Georgia" w:hAnsi="Georgia" w:cstheme="minorHAnsi"/>
                <w:sz w:val="16"/>
                <w:szCs w:val="16"/>
              </w:rPr>
              <w:t xml:space="preserve">but </w:t>
            </w:r>
            <w:r w:rsidR="007057B2" w:rsidRPr="00314C12">
              <w:rPr>
                <w:rFonts w:ascii="Georgia" w:hAnsi="Georgia" w:cstheme="minorHAnsi"/>
                <w:sz w:val="16"/>
                <w:szCs w:val="16"/>
              </w:rPr>
              <w:t xml:space="preserve">no explanations given. </w:t>
            </w:r>
          </w:p>
        </w:tc>
        <w:tc>
          <w:tcPr>
            <w:tcW w:w="2410" w:type="dxa"/>
            <w:tcBorders>
              <w:top w:val="single" w:sz="4" w:space="0" w:color="auto"/>
            </w:tcBorders>
            <w:shd w:val="clear" w:color="auto" w:fill="auto"/>
          </w:tcPr>
          <w:p w:rsidR="00006366" w:rsidRPr="00314C12" w:rsidRDefault="00B57D19" w:rsidP="009A5B0F">
            <w:pPr>
              <w:rPr>
                <w:rFonts w:ascii="Georgia" w:hAnsi="Georgia" w:cstheme="minorHAnsi"/>
                <w:sz w:val="16"/>
                <w:szCs w:val="16"/>
              </w:rPr>
            </w:pPr>
            <w:r w:rsidRPr="00314C12">
              <w:rPr>
                <w:rFonts w:ascii="Georgia" w:hAnsi="Georgia" w:cstheme="minorHAnsi"/>
                <w:sz w:val="16"/>
                <w:szCs w:val="16"/>
              </w:rPr>
              <w:t xml:space="preserve">Summary voting record available. </w:t>
            </w:r>
          </w:p>
        </w:tc>
        <w:tc>
          <w:tcPr>
            <w:tcW w:w="2126" w:type="dxa"/>
            <w:tcBorders>
              <w:top w:val="single" w:sz="4" w:space="0" w:color="auto"/>
            </w:tcBorders>
            <w:shd w:val="clear" w:color="auto" w:fill="auto"/>
          </w:tcPr>
          <w:p w:rsidR="00006366" w:rsidRPr="00314C12" w:rsidRDefault="00B57D19" w:rsidP="009A5B0F">
            <w:pPr>
              <w:rPr>
                <w:rFonts w:ascii="Georgia" w:hAnsi="Georgia" w:cstheme="minorHAnsi"/>
                <w:sz w:val="16"/>
                <w:szCs w:val="16"/>
              </w:rPr>
            </w:pPr>
            <w:r w:rsidRPr="00314C12">
              <w:rPr>
                <w:rFonts w:ascii="Georgia" w:hAnsi="Georgia" w:cstheme="minorHAnsi"/>
                <w:sz w:val="16"/>
                <w:szCs w:val="16"/>
              </w:rPr>
              <w:t>Voting record available to clients only.</w:t>
            </w:r>
          </w:p>
        </w:tc>
        <w:tc>
          <w:tcPr>
            <w:tcW w:w="1843" w:type="dxa"/>
            <w:vMerge/>
            <w:tcBorders>
              <w:right w:val="single" w:sz="4" w:space="0" w:color="auto"/>
            </w:tcBorders>
          </w:tcPr>
          <w:p w:rsidR="00006366" w:rsidRPr="007473E9" w:rsidRDefault="00006366" w:rsidP="007473E9">
            <w:pPr>
              <w:jc w:val="both"/>
              <w:rPr>
                <w:sz w:val="16"/>
                <w:szCs w:val="16"/>
              </w:rPr>
            </w:pPr>
          </w:p>
        </w:tc>
      </w:tr>
      <w:tr w:rsidR="00A91C1B" w:rsidTr="00A91C1B">
        <w:trPr>
          <w:trHeight w:val="613"/>
        </w:trPr>
        <w:tc>
          <w:tcPr>
            <w:tcW w:w="1526" w:type="dxa"/>
            <w:vMerge/>
            <w:tcBorders>
              <w:left w:val="single" w:sz="4" w:space="0" w:color="auto"/>
            </w:tcBorders>
            <w:shd w:val="clear" w:color="auto" w:fill="B6DDE8" w:themeFill="accent5" w:themeFillTint="66"/>
            <w:vAlign w:val="center"/>
          </w:tcPr>
          <w:p w:rsidR="00006366" w:rsidRPr="00314C12" w:rsidRDefault="00006366" w:rsidP="007B2C2B">
            <w:pPr>
              <w:jc w:val="center"/>
              <w:rPr>
                <w:rFonts w:ascii="Gotham XNarrow Bold" w:hAnsi="Gotham XNarrow Bold"/>
              </w:rPr>
            </w:pPr>
          </w:p>
        </w:tc>
        <w:tc>
          <w:tcPr>
            <w:tcW w:w="1559" w:type="dxa"/>
            <w:vMerge w:val="restart"/>
            <w:tcBorders>
              <w:left w:val="single" w:sz="4" w:space="0" w:color="auto"/>
            </w:tcBorders>
            <w:shd w:val="clear" w:color="auto" w:fill="B6DDE8" w:themeFill="accent5" w:themeFillTint="66"/>
            <w:vAlign w:val="center"/>
          </w:tcPr>
          <w:p w:rsidR="00006366" w:rsidRPr="00314C12" w:rsidRDefault="009A5B0F" w:rsidP="007B2C2B">
            <w:pPr>
              <w:jc w:val="center"/>
              <w:rPr>
                <w:rFonts w:ascii="Gotham XNarrow Bold" w:hAnsi="Gotham XNarrow Bold"/>
                <w:sz w:val="20"/>
                <w:szCs w:val="20"/>
              </w:rPr>
            </w:pPr>
            <w:r w:rsidRPr="00314C12">
              <w:rPr>
                <w:rFonts w:ascii="Gotham XNarrow Bold" w:hAnsi="Gotham XNarrow Bold"/>
                <w:sz w:val="20"/>
                <w:szCs w:val="20"/>
              </w:rPr>
              <w:t>VOTING DISCLOSURE TIMING</w:t>
            </w:r>
          </w:p>
        </w:tc>
        <w:tc>
          <w:tcPr>
            <w:tcW w:w="3402" w:type="dxa"/>
            <w:tcBorders>
              <w:top w:val="single" w:sz="4" w:space="0" w:color="auto"/>
            </w:tcBorders>
            <w:shd w:val="clear" w:color="auto" w:fill="auto"/>
          </w:tcPr>
          <w:p w:rsidR="00006366" w:rsidRPr="00314C12" w:rsidRDefault="00006366" w:rsidP="009A5B0F">
            <w:pPr>
              <w:rPr>
                <w:rFonts w:ascii="Georgia" w:hAnsi="Georgia" w:cstheme="minorHAnsi"/>
                <w:sz w:val="16"/>
                <w:szCs w:val="16"/>
              </w:rPr>
            </w:pPr>
            <w:r w:rsidRPr="00314C12">
              <w:rPr>
                <w:rFonts w:ascii="Georgia" w:hAnsi="Georgia" w:cstheme="minorHAnsi"/>
                <w:sz w:val="16"/>
                <w:szCs w:val="16"/>
              </w:rPr>
              <w:t xml:space="preserve">At least </w:t>
            </w:r>
            <w:r w:rsidR="00B57D19" w:rsidRPr="00314C12">
              <w:rPr>
                <w:rFonts w:ascii="Georgia" w:hAnsi="Georgia" w:cstheme="minorHAnsi"/>
                <w:sz w:val="16"/>
                <w:szCs w:val="16"/>
              </w:rPr>
              <w:t xml:space="preserve">monthly disclosure of voting records </w:t>
            </w:r>
            <w:r w:rsidR="00A91C1B" w:rsidRPr="00314C12">
              <w:rPr>
                <w:rFonts w:ascii="Georgia" w:hAnsi="Georgia" w:cstheme="minorHAnsi"/>
                <w:sz w:val="16"/>
                <w:szCs w:val="16"/>
              </w:rPr>
              <w:t>-</w:t>
            </w:r>
            <w:r w:rsidR="00B57D19" w:rsidRPr="00314C12">
              <w:rPr>
                <w:rFonts w:ascii="Georgia" w:hAnsi="Georgia" w:cstheme="minorHAnsi"/>
                <w:sz w:val="16"/>
                <w:szCs w:val="16"/>
              </w:rPr>
              <w:t xml:space="preserve"> no more than one month in arrears. </w:t>
            </w:r>
          </w:p>
        </w:tc>
        <w:tc>
          <w:tcPr>
            <w:tcW w:w="2835" w:type="dxa"/>
            <w:tcBorders>
              <w:top w:val="single" w:sz="4" w:space="0" w:color="auto"/>
            </w:tcBorders>
            <w:shd w:val="clear" w:color="auto" w:fill="auto"/>
          </w:tcPr>
          <w:p w:rsidR="00006366" w:rsidRPr="00314C12" w:rsidRDefault="00006366" w:rsidP="009A5B0F">
            <w:pPr>
              <w:rPr>
                <w:rFonts w:ascii="Georgia" w:hAnsi="Georgia" w:cstheme="minorHAnsi"/>
                <w:sz w:val="16"/>
                <w:szCs w:val="16"/>
              </w:rPr>
            </w:pPr>
            <w:r w:rsidRPr="00314C12">
              <w:rPr>
                <w:rFonts w:ascii="Georgia" w:hAnsi="Georgia" w:cstheme="minorHAnsi"/>
                <w:sz w:val="16"/>
                <w:szCs w:val="16"/>
              </w:rPr>
              <w:t xml:space="preserve">At least </w:t>
            </w:r>
            <w:r w:rsidR="00B57D19" w:rsidRPr="00314C12">
              <w:rPr>
                <w:rFonts w:ascii="Georgia" w:hAnsi="Georgia" w:cstheme="minorHAnsi"/>
                <w:sz w:val="16"/>
                <w:szCs w:val="16"/>
              </w:rPr>
              <w:t xml:space="preserve">quarterly disclosure of </w:t>
            </w:r>
            <w:r w:rsidRPr="00314C12">
              <w:rPr>
                <w:rFonts w:ascii="Georgia" w:hAnsi="Georgia" w:cstheme="minorHAnsi"/>
                <w:sz w:val="16"/>
                <w:szCs w:val="16"/>
              </w:rPr>
              <w:t>vot</w:t>
            </w:r>
            <w:r w:rsidR="00B57D19" w:rsidRPr="00314C12">
              <w:rPr>
                <w:rFonts w:ascii="Georgia" w:hAnsi="Georgia" w:cstheme="minorHAnsi"/>
                <w:sz w:val="16"/>
                <w:szCs w:val="16"/>
              </w:rPr>
              <w:t xml:space="preserve">ing records </w:t>
            </w:r>
            <w:r w:rsidR="00A91C1B" w:rsidRPr="00314C12">
              <w:rPr>
                <w:rFonts w:ascii="Georgia" w:hAnsi="Georgia" w:cstheme="minorHAnsi"/>
                <w:sz w:val="16"/>
                <w:szCs w:val="16"/>
              </w:rPr>
              <w:t xml:space="preserve">- </w:t>
            </w:r>
            <w:r w:rsidR="00B57D19" w:rsidRPr="00314C12">
              <w:rPr>
                <w:rFonts w:ascii="Georgia" w:hAnsi="Georgia" w:cstheme="minorHAnsi"/>
                <w:sz w:val="16"/>
                <w:szCs w:val="16"/>
              </w:rPr>
              <w:t>no more than a quarter in arrears</w:t>
            </w:r>
            <w:r w:rsidR="00265F7B" w:rsidRPr="00314C12">
              <w:rPr>
                <w:rFonts w:ascii="Georgia" w:hAnsi="Georgia" w:cstheme="minorHAnsi"/>
                <w:sz w:val="16"/>
                <w:szCs w:val="16"/>
              </w:rPr>
              <w:t>.</w:t>
            </w:r>
          </w:p>
        </w:tc>
        <w:tc>
          <w:tcPr>
            <w:tcW w:w="2410" w:type="dxa"/>
            <w:tcBorders>
              <w:top w:val="single" w:sz="4" w:space="0" w:color="auto"/>
            </w:tcBorders>
            <w:shd w:val="clear" w:color="auto" w:fill="auto"/>
          </w:tcPr>
          <w:p w:rsidR="00006366" w:rsidRPr="00314C12" w:rsidRDefault="00B57D19" w:rsidP="009A5B0F">
            <w:pPr>
              <w:rPr>
                <w:rFonts w:ascii="Georgia" w:hAnsi="Georgia" w:cstheme="minorHAnsi"/>
                <w:sz w:val="16"/>
                <w:szCs w:val="16"/>
              </w:rPr>
            </w:pPr>
            <w:r w:rsidRPr="00314C12">
              <w:rPr>
                <w:rFonts w:ascii="Georgia" w:hAnsi="Georgia" w:cstheme="minorHAnsi"/>
                <w:sz w:val="16"/>
                <w:szCs w:val="16"/>
              </w:rPr>
              <w:t xml:space="preserve">At least annual disclosure of voting records. </w:t>
            </w:r>
          </w:p>
        </w:tc>
        <w:tc>
          <w:tcPr>
            <w:tcW w:w="2126" w:type="dxa"/>
            <w:tcBorders>
              <w:top w:val="single" w:sz="4" w:space="0" w:color="auto"/>
            </w:tcBorders>
            <w:shd w:val="clear" w:color="auto" w:fill="auto"/>
          </w:tcPr>
          <w:p w:rsidR="00006366" w:rsidRPr="00314C12" w:rsidRDefault="00006366" w:rsidP="009A5B0F">
            <w:pPr>
              <w:rPr>
                <w:rFonts w:ascii="Georgia" w:hAnsi="Georgia" w:cstheme="minorHAnsi"/>
                <w:sz w:val="16"/>
                <w:szCs w:val="16"/>
              </w:rPr>
            </w:pPr>
            <w:r w:rsidRPr="00314C12">
              <w:rPr>
                <w:rFonts w:ascii="Georgia" w:hAnsi="Georgia" w:cstheme="minorHAnsi"/>
                <w:sz w:val="16"/>
                <w:szCs w:val="16"/>
              </w:rPr>
              <w:t xml:space="preserve">No </w:t>
            </w:r>
            <w:r w:rsidR="00A91C1B" w:rsidRPr="00314C12">
              <w:rPr>
                <w:rFonts w:ascii="Georgia" w:hAnsi="Georgia" w:cstheme="minorHAnsi"/>
                <w:sz w:val="16"/>
                <w:szCs w:val="16"/>
              </w:rPr>
              <w:t xml:space="preserve">public </w:t>
            </w:r>
            <w:r w:rsidRPr="00314C12">
              <w:rPr>
                <w:rFonts w:ascii="Georgia" w:hAnsi="Georgia" w:cstheme="minorHAnsi"/>
                <w:sz w:val="16"/>
                <w:szCs w:val="16"/>
              </w:rPr>
              <w:t>disclosure on voting activity</w:t>
            </w:r>
            <w:r w:rsidR="00265F7B" w:rsidRPr="00314C12">
              <w:rPr>
                <w:rFonts w:ascii="Georgia" w:hAnsi="Georgia" w:cstheme="minorHAnsi"/>
                <w:sz w:val="16"/>
                <w:szCs w:val="16"/>
              </w:rPr>
              <w:t>.</w:t>
            </w:r>
          </w:p>
        </w:tc>
        <w:tc>
          <w:tcPr>
            <w:tcW w:w="1843" w:type="dxa"/>
            <w:vMerge/>
            <w:tcBorders>
              <w:right w:val="single" w:sz="4" w:space="0" w:color="auto"/>
            </w:tcBorders>
          </w:tcPr>
          <w:p w:rsidR="00006366" w:rsidRPr="007473E9" w:rsidRDefault="00006366" w:rsidP="007473E9">
            <w:pPr>
              <w:jc w:val="both"/>
              <w:rPr>
                <w:sz w:val="16"/>
                <w:szCs w:val="16"/>
              </w:rPr>
            </w:pPr>
          </w:p>
        </w:tc>
      </w:tr>
      <w:tr w:rsidR="00931229" w:rsidTr="00E1674F">
        <w:trPr>
          <w:trHeight w:val="78"/>
        </w:trPr>
        <w:tc>
          <w:tcPr>
            <w:tcW w:w="1526" w:type="dxa"/>
            <w:vMerge/>
            <w:tcBorders>
              <w:left w:val="single" w:sz="4" w:space="0" w:color="auto"/>
            </w:tcBorders>
            <w:shd w:val="clear" w:color="auto" w:fill="B6DDE8" w:themeFill="accent5" w:themeFillTint="66"/>
            <w:vAlign w:val="center"/>
          </w:tcPr>
          <w:p w:rsidR="00931229" w:rsidRPr="00314C12" w:rsidRDefault="00931229" w:rsidP="007B2C2B">
            <w:pPr>
              <w:jc w:val="center"/>
              <w:rPr>
                <w:rFonts w:ascii="Gotham XNarrow Bold" w:hAnsi="Gotham XNarrow Bold"/>
              </w:rPr>
            </w:pPr>
          </w:p>
        </w:tc>
        <w:tc>
          <w:tcPr>
            <w:tcW w:w="1559" w:type="dxa"/>
            <w:vMerge/>
            <w:tcBorders>
              <w:left w:val="single" w:sz="4" w:space="0" w:color="auto"/>
            </w:tcBorders>
            <w:shd w:val="clear" w:color="auto" w:fill="B6DDE8" w:themeFill="accent5" w:themeFillTint="66"/>
            <w:vAlign w:val="center"/>
          </w:tcPr>
          <w:p w:rsidR="00931229" w:rsidRPr="00314C12" w:rsidRDefault="00931229" w:rsidP="007B2C2B">
            <w:pPr>
              <w:jc w:val="center"/>
              <w:rPr>
                <w:rFonts w:ascii="Gotham XNarrow Bold" w:hAnsi="Gotham XNarrow Bold"/>
                <w:sz w:val="20"/>
                <w:szCs w:val="20"/>
              </w:rPr>
            </w:pPr>
          </w:p>
        </w:tc>
        <w:tc>
          <w:tcPr>
            <w:tcW w:w="10773" w:type="dxa"/>
            <w:gridSpan w:val="4"/>
            <w:tcBorders>
              <w:top w:val="single" w:sz="4" w:space="0" w:color="auto"/>
            </w:tcBorders>
            <w:shd w:val="clear" w:color="auto" w:fill="F2F2F2" w:themeFill="background1" w:themeFillShade="F2"/>
          </w:tcPr>
          <w:p w:rsidR="00931229" w:rsidRDefault="007A782D" w:rsidP="009A5B0F">
            <w:pPr>
              <w:rPr>
                <w:rFonts w:cstheme="minorHAnsi"/>
                <w:sz w:val="16"/>
                <w:szCs w:val="16"/>
              </w:rPr>
            </w:pPr>
            <w:r>
              <w:rPr>
                <w:rFonts w:cstheme="minorHAnsi"/>
                <w:sz w:val="16"/>
                <w:szCs w:val="16"/>
              </w:rPr>
              <w:t>&lt;&lt;Insert web link here&gt;&gt;</w:t>
            </w:r>
          </w:p>
        </w:tc>
        <w:tc>
          <w:tcPr>
            <w:tcW w:w="1843" w:type="dxa"/>
            <w:vMerge/>
            <w:tcBorders>
              <w:right w:val="single" w:sz="4" w:space="0" w:color="auto"/>
            </w:tcBorders>
          </w:tcPr>
          <w:p w:rsidR="00931229" w:rsidRPr="007473E9" w:rsidRDefault="00931229" w:rsidP="007473E9">
            <w:pPr>
              <w:jc w:val="both"/>
              <w:rPr>
                <w:sz w:val="16"/>
                <w:szCs w:val="16"/>
              </w:rPr>
            </w:pPr>
          </w:p>
        </w:tc>
      </w:tr>
      <w:tr w:rsidR="00A91C1B" w:rsidTr="00A91C1B">
        <w:trPr>
          <w:trHeight w:val="122"/>
        </w:trPr>
        <w:tc>
          <w:tcPr>
            <w:tcW w:w="1526" w:type="dxa"/>
            <w:vMerge/>
            <w:tcBorders>
              <w:left w:val="single" w:sz="4" w:space="0" w:color="auto"/>
            </w:tcBorders>
            <w:shd w:val="clear" w:color="auto" w:fill="B6DDE8" w:themeFill="accent5" w:themeFillTint="66"/>
            <w:vAlign w:val="center"/>
          </w:tcPr>
          <w:p w:rsidR="00006366" w:rsidRPr="00314C12" w:rsidRDefault="00006366" w:rsidP="007B2C2B">
            <w:pPr>
              <w:jc w:val="center"/>
              <w:rPr>
                <w:rFonts w:ascii="Gotham XNarrow Bold" w:hAnsi="Gotham XNarrow Bold"/>
              </w:rPr>
            </w:pPr>
          </w:p>
        </w:tc>
        <w:tc>
          <w:tcPr>
            <w:tcW w:w="1559" w:type="dxa"/>
            <w:vMerge w:val="restart"/>
            <w:tcBorders>
              <w:left w:val="single" w:sz="4" w:space="0" w:color="auto"/>
            </w:tcBorders>
            <w:shd w:val="clear" w:color="auto" w:fill="B6DDE8" w:themeFill="accent5" w:themeFillTint="66"/>
            <w:vAlign w:val="center"/>
          </w:tcPr>
          <w:p w:rsidR="00006366" w:rsidRPr="00314C12" w:rsidRDefault="009A5B0F" w:rsidP="007B2C2B">
            <w:pPr>
              <w:jc w:val="center"/>
              <w:rPr>
                <w:rFonts w:ascii="Gotham XNarrow Bold" w:hAnsi="Gotham XNarrow Bold"/>
                <w:sz w:val="20"/>
                <w:szCs w:val="20"/>
              </w:rPr>
            </w:pPr>
            <w:r w:rsidRPr="00314C12">
              <w:rPr>
                <w:rFonts w:ascii="Gotham XNarrow Bold" w:hAnsi="Gotham XNarrow Bold"/>
                <w:sz w:val="20"/>
                <w:szCs w:val="20"/>
              </w:rPr>
              <w:t>ENGAGEMENT REPORTING</w:t>
            </w:r>
          </w:p>
        </w:tc>
        <w:tc>
          <w:tcPr>
            <w:tcW w:w="3402" w:type="dxa"/>
            <w:tcBorders>
              <w:top w:val="single" w:sz="4" w:space="0" w:color="auto"/>
            </w:tcBorders>
            <w:shd w:val="clear" w:color="auto" w:fill="auto"/>
          </w:tcPr>
          <w:p w:rsidR="00006366" w:rsidRPr="00314C12" w:rsidRDefault="00006366" w:rsidP="009A5B0F">
            <w:pPr>
              <w:rPr>
                <w:rFonts w:ascii="Georgia" w:hAnsi="Georgia" w:cstheme="minorHAnsi"/>
                <w:sz w:val="16"/>
                <w:szCs w:val="16"/>
              </w:rPr>
            </w:pPr>
            <w:r w:rsidRPr="00314C12">
              <w:rPr>
                <w:rFonts w:ascii="Georgia" w:hAnsi="Georgia" w:cstheme="minorHAnsi"/>
                <w:sz w:val="16"/>
                <w:szCs w:val="16"/>
              </w:rPr>
              <w:t xml:space="preserve">Public disclosure of key </w:t>
            </w:r>
            <w:r w:rsidR="00B57D19" w:rsidRPr="00314C12">
              <w:rPr>
                <w:rFonts w:ascii="Georgia" w:hAnsi="Georgia" w:cstheme="minorHAnsi"/>
                <w:sz w:val="16"/>
                <w:szCs w:val="16"/>
              </w:rPr>
              <w:t xml:space="preserve">company </w:t>
            </w:r>
            <w:r w:rsidRPr="00314C12">
              <w:rPr>
                <w:rFonts w:ascii="Georgia" w:hAnsi="Georgia" w:cstheme="minorHAnsi"/>
                <w:sz w:val="16"/>
                <w:szCs w:val="16"/>
              </w:rPr>
              <w:t xml:space="preserve">engagement activities </w:t>
            </w:r>
            <w:r w:rsidR="00B57D19" w:rsidRPr="00314C12">
              <w:rPr>
                <w:rFonts w:ascii="Georgia" w:hAnsi="Georgia" w:cstheme="minorHAnsi"/>
                <w:sz w:val="16"/>
                <w:szCs w:val="16"/>
              </w:rPr>
              <w:t xml:space="preserve">and outcomes </w:t>
            </w:r>
            <w:r w:rsidRPr="00314C12">
              <w:rPr>
                <w:rFonts w:ascii="Georgia" w:hAnsi="Georgia" w:cstheme="minorHAnsi"/>
                <w:sz w:val="16"/>
                <w:szCs w:val="16"/>
              </w:rPr>
              <w:t>on a quarterly basis</w:t>
            </w:r>
            <w:r w:rsidR="00E71554" w:rsidRPr="00314C12">
              <w:rPr>
                <w:rFonts w:ascii="Georgia" w:hAnsi="Georgia" w:cstheme="minorHAnsi"/>
                <w:sz w:val="16"/>
                <w:szCs w:val="16"/>
              </w:rPr>
              <w:t>.</w:t>
            </w:r>
          </w:p>
        </w:tc>
        <w:tc>
          <w:tcPr>
            <w:tcW w:w="2835" w:type="dxa"/>
            <w:tcBorders>
              <w:top w:val="single" w:sz="4" w:space="0" w:color="auto"/>
            </w:tcBorders>
            <w:shd w:val="clear" w:color="auto" w:fill="auto"/>
          </w:tcPr>
          <w:p w:rsidR="00006366" w:rsidRPr="00314C12" w:rsidRDefault="00006366" w:rsidP="009A5B0F">
            <w:pPr>
              <w:rPr>
                <w:rFonts w:ascii="Georgia" w:hAnsi="Georgia" w:cstheme="minorHAnsi"/>
                <w:sz w:val="16"/>
                <w:szCs w:val="16"/>
              </w:rPr>
            </w:pPr>
            <w:r w:rsidRPr="00314C12">
              <w:rPr>
                <w:rFonts w:ascii="Georgia" w:hAnsi="Georgia" w:cstheme="minorHAnsi"/>
                <w:sz w:val="16"/>
                <w:szCs w:val="16"/>
              </w:rPr>
              <w:t xml:space="preserve">Public disclosure of key </w:t>
            </w:r>
            <w:r w:rsidR="00B57D19" w:rsidRPr="00314C12">
              <w:rPr>
                <w:rFonts w:ascii="Georgia" w:hAnsi="Georgia" w:cstheme="minorHAnsi"/>
                <w:sz w:val="16"/>
                <w:szCs w:val="16"/>
              </w:rPr>
              <w:t xml:space="preserve">company </w:t>
            </w:r>
            <w:r w:rsidRPr="00314C12">
              <w:rPr>
                <w:rFonts w:ascii="Georgia" w:hAnsi="Georgia" w:cstheme="minorHAnsi"/>
                <w:sz w:val="16"/>
                <w:szCs w:val="16"/>
              </w:rPr>
              <w:t xml:space="preserve">engagement activities on annual basis. </w:t>
            </w:r>
          </w:p>
        </w:tc>
        <w:tc>
          <w:tcPr>
            <w:tcW w:w="2410" w:type="dxa"/>
            <w:tcBorders>
              <w:top w:val="single" w:sz="4" w:space="0" w:color="auto"/>
            </w:tcBorders>
            <w:shd w:val="clear" w:color="auto" w:fill="auto"/>
          </w:tcPr>
          <w:p w:rsidR="00006366" w:rsidRPr="00314C12" w:rsidRDefault="00540962" w:rsidP="009A5B0F">
            <w:pPr>
              <w:rPr>
                <w:rFonts w:ascii="Georgia" w:hAnsi="Georgia" w:cstheme="minorHAnsi"/>
                <w:sz w:val="16"/>
                <w:szCs w:val="16"/>
              </w:rPr>
            </w:pPr>
            <w:r w:rsidRPr="00314C12">
              <w:rPr>
                <w:rFonts w:ascii="Georgia" w:hAnsi="Georgia" w:cstheme="minorHAnsi"/>
                <w:sz w:val="16"/>
                <w:szCs w:val="16"/>
              </w:rPr>
              <w:t>Company e</w:t>
            </w:r>
            <w:r w:rsidR="00006366" w:rsidRPr="00314C12">
              <w:rPr>
                <w:rFonts w:ascii="Georgia" w:hAnsi="Georgia" w:cstheme="minorHAnsi"/>
                <w:sz w:val="16"/>
                <w:szCs w:val="16"/>
              </w:rPr>
              <w:t>ngagement record available to clients only</w:t>
            </w:r>
            <w:r w:rsidR="00E71554" w:rsidRPr="00314C12">
              <w:rPr>
                <w:rFonts w:ascii="Georgia" w:hAnsi="Georgia" w:cstheme="minorHAnsi"/>
                <w:sz w:val="16"/>
                <w:szCs w:val="16"/>
              </w:rPr>
              <w:t>.</w:t>
            </w:r>
          </w:p>
        </w:tc>
        <w:tc>
          <w:tcPr>
            <w:tcW w:w="2126" w:type="dxa"/>
            <w:tcBorders>
              <w:top w:val="single" w:sz="4" w:space="0" w:color="auto"/>
            </w:tcBorders>
            <w:shd w:val="clear" w:color="auto" w:fill="auto"/>
          </w:tcPr>
          <w:p w:rsidR="00006366" w:rsidRPr="00314C12" w:rsidRDefault="00006366" w:rsidP="009A5B0F">
            <w:pPr>
              <w:rPr>
                <w:rFonts w:ascii="Georgia" w:hAnsi="Georgia" w:cstheme="minorHAnsi"/>
                <w:sz w:val="16"/>
                <w:szCs w:val="16"/>
              </w:rPr>
            </w:pPr>
            <w:r w:rsidRPr="00314C12">
              <w:rPr>
                <w:rFonts w:ascii="Georgia" w:hAnsi="Georgia" w:cstheme="minorHAnsi"/>
                <w:sz w:val="16"/>
                <w:szCs w:val="16"/>
              </w:rPr>
              <w:t xml:space="preserve">No disclosure on </w:t>
            </w:r>
            <w:r w:rsidR="00540962" w:rsidRPr="00314C12">
              <w:rPr>
                <w:rFonts w:ascii="Georgia" w:hAnsi="Georgia" w:cstheme="minorHAnsi"/>
                <w:sz w:val="16"/>
                <w:szCs w:val="16"/>
              </w:rPr>
              <w:t xml:space="preserve">company </w:t>
            </w:r>
            <w:r w:rsidRPr="00314C12">
              <w:rPr>
                <w:rFonts w:ascii="Georgia" w:hAnsi="Georgia" w:cstheme="minorHAnsi"/>
                <w:sz w:val="16"/>
                <w:szCs w:val="16"/>
              </w:rPr>
              <w:t>engagement activity</w:t>
            </w:r>
            <w:r w:rsidR="00E71554" w:rsidRPr="00314C12">
              <w:rPr>
                <w:rFonts w:ascii="Georgia" w:hAnsi="Georgia" w:cstheme="minorHAnsi"/>
                <w:sz w:val="16"/>
                <w:szCs w:val="16"/>
              </w:rPr>
              <w:t>.</w:t>
            </w:r>
          </w:p>
        </w:tc>
        <w:tc>
          <w:tcPr>
            <w:tcW w:w="1843" w:type="dxa"/>
            <w:vMerge/>
            <w:tcBorders>
              <w:right w:val="single" w:sz="4" w:space="0" w:color="auto"/>
            </w:tcBorders>
          </w:tcPr>
          <w:p w:rsidR="00006366" w:rsidRPr="007473E9" w:rsidRDefault="00006366" w:rsidP="007473E9">
            <w:pPr>
              <w:jc w:val="both"/>
              <w:rPr>
                <w:sz w:val="16"/>
                <w:szCs w:val="16"/>
              </w:rPr>
            </w:pPr>
          </w:p>
        </w:tc>
      </w:tr>
      <w:tr w:rsidR="00931229" w:rsidTr="00E1674F">
        <w:trPr>
          <w:trHeight w:val="122"/>
        </w:trPr>
        <w:tc>
          <w:tcPr>
            <w:tcW w:w="1526" w:type="dxa"/>
            <w:vMerge/>
            <w:tcBorders>
              <w:left w:val="single" w:sz="4" w:space="0" w:color="auto"/>
            </w:tcBorders>
            <w:shd w:val="clear" w:color="auto" w:fill="B6DDE8" w:themeFill="accent5" w:themeFillTint="66"/>
            <w:vAlign w:val="center"/>
          </w:tcPr>
          <w:p w:rsidR="00931229" w:rsidRPr="00314C12" w:rsidRDefault="00931229" w:rsidP="007B2C2B">
            <w:pPr>
              <w:jc w:val="center"/>
              <w:rPr>
                <w:rFonts w:ascii="Gotham XNarrow Bold" w:hAnsi="Gotham XNarrow Bold"/>
              </w:rPr>
            </w:pPr>
          </w:p>
        </w:tc>
        <w:tc>
          <w:tcPr>
            <w:tcW w:w="1559" w:type="dxa"/>
            <w:vMerge/>
            <w:tcBorders>
              <w:left w:val="single" w:sz="4" w:space="0" w:color="auto"/>
            </w:tcBorders>
            <w:shd w:val="clear" w:color="auto" w:fill="B6DDE8" w:themeFill="accent5" w:themeFillTint="66"/>
            <w:vAlign w:val="center"/>
          </w:tcPr>
          <w:p w:rsidR="00931229" w:rsidRPr="00314C12" w:rsidRDefault="00931229" w:rsidP="007B2C2B">
            <w:pPr>
              <w:jc w:val="center"/>
              <w:rPr>
                <w:rFonts w:ascii="Gotham XNarrow Bold" w:hAnsi="Gotham XNarrow Bold"/>
                <w:sz w:val="20"/>
                <w:szCs w:val="20"/>
              </w:rPr>
            </w:pPr>
          </w:p>
        </w:tc>
        <w:tc>
          <w:tcPr>
            <w:tcW w:w="10773" w:type="dxa"/>
            <w:gridSpan w:val="4"/>
            <w:tcBorders>
              <w:top w:val="single" w:sz="4" w:space="0" w:color="auto"/>
            </w:tcBorders>
            <w:shd w:val="clear" w:color="auto" w:fill="F2F2F2" w:themeFill="background1" w:themeFillShade="F2"/>
          </w:tcPr>
          <w:p w:rsidR="00931229" w:rsidRDefault="007A782D" w:rsidP="009A5B0F">
            <w:pPr>
              <w:rPr>
                <w:rFonts w:cstheme="minorHAnsi"/>
                <w:sz w:val="16"/>
                <w:szCs w:val="16"/>
              </w:rPr>
            </w:pPr>
            <w:r>
              <w:rPr>
                <w:rFonts w:cstheme="minorHAnsi"/>
                <w:sz w:val="16"/>
                <w:szCs w:val="16"/>
              </w:rPr>
              <w:t>&lt;&lt;Insert web link here&gt;&gt;</w:t>
            </w:r>
          </w:p>
        </w:tc>
        <w:tc>
          <w:tcPr>
            <w:tcW w:w="1843" w:type="dxa"/>
            <w:vMerge/>
            <w:tcBorders>
              <w:right w:val="single" w:sz="4" w:space="0" w:color="auto"/>
            </w:tcBorders>
          </w:tcPr>
          <w:p w:rsidR="00931229" w:rsidRPr="007473E9" w:rsidRDefault="00931229" w:rsidP="007473E9">
            <w:pPr>
              <w:jc w:val="both"/>
              <w:rPr>
                <w:sz w:val="16"/>
                <w:szCs w:val="16"/>
              </w:rPr>
            </w:pPr>
          </w:p>
        </w:tc>
      </w:tr>
      <w:tr w:rsidR="00E1674F" w:rsidTr="00A91C1B">
        <w:trPr>
          <w:trHeight w:val="122"/>
        </w:trPr>
        <w:tc>
          <w:tcPr>
            <w:tcW w:w="1526" w:type="dxa"/>
            <w:vMerge/>
            <w:tcBorders>
              <w:left w:val="single" w:sz="4" w:space="0" w:color="auto"/>
            </w:tcBorders>
            <w:shd w:val="clear" w:color="auto" w:fill="B6DDE8" w:themeFill="accent5" w:themeFillTint="66"/>
            <w:vAlign w:val="center"/>
          </w:tcPr>
          <w:p w:rsidR="00006366" w:rsidRPr="00314C12" w:rsidRDefault="00006366" w:rsidP="007B2C2B">
            <w:pPr>
              <w:jc w:val="center"/>
              <w:rPr>
                <w:rFonts w:ascii="Gotham XNarrow Bold" w:hAnsi="Gotham XNarrow Bold"/>
              </w:rPr>
            </w:pPr>
          </w:p>
        </w:tc>
        <w:tc>
          <w:tcPr>
            <w:tcW w:w="1559" w:type="dxa"/>
            <w:tcBorders>
              <w:left w:val="single" w:sz="4" w:space="0" w:color="auto"/>
            </w:tcBorders>
            <w:shd w:val="clear" w:color="auto" w:fill="B6DDE8" w:themeFill="accent5" w:themeFillTint="66"/>
            <w:vAlign w:val="center"/>
          </w:tcPr>
          <w:p w:rsidR="00006366" w:rsidRPr="00314C12" w:rsidRDefault="009A5B0F" w:rsidP="00C24EFC">
            <w:pPr>
              <w:jc w:val="center"/>
              <w:rPr>
                <w:rFonts w:ascii="Gotham XNarrow Bold" w:hAnsi="Gotham XNarrow Bold"/>
                <w:sz w:val="20"/>
                <w:szCs w:val="20"/>
              </w:rPr>
            </w:pPr>
            <w:r w:rsidRPr="00314C12">
              <w:rPr>
                <w:rFonts w:ascii="Gotham XNarrow Bold" w:hAnsi="Gotham XNarrow Bold"/>
                <w:sz w:val="20"/>
                <w:szCs w:val="20"/>
              </w:rPr>
              <w:t>INDEPENDENT ASSURANCE</w:t>
            </w:r>
          </w:p>
        </w:tc>
        <w:tc>
          <w:tcPr>
            <w:tcW w:w="3402" w:type="dxa"/>
            <w:tcBorders>
              <w:top w:val="single" w:sz="4" w:space="0" w:color="auto"/>
            </w:tcBorders>
            <w:shd w:val="clear" w:color="auto" w:fill="auto"/>
          </w:tcPr>
          <w:p w:rsidR="00006366" w:rsidRPr="00314C12" w:rsidRDefault="00006366" w:rsidP="009A5B0F">
            <w:pPr>
              <w:rPr>
                <w:rFonts w:ascii="Georgia" w:hAnsi="Georgia" w:cstheme="minorHAnsi"/>
                <w:sz w:val="16"/>
                <w:szCs w:val="16"/>
              </w:rPr>
            </w:pPr>
            <w:r w:rsidRPr="00314C12">
              <w:rPr>
                <w:rFonts w:ascii="Georgia" w:hAnsi="Georgia" w:cstheme="minorHAnsi"/>
                <w:sz w:val="16"/>
                <w:szCs w:val="16"/>
              </w:rPr>
              <w:t xml:space="preserve">Independent assurance obtained on </w:t>
            </w:r>
            <w:r w:rsidR="0039457F" w:rsidRPr="00314C12">
              <w:rPr>
                <w:rFonts w:ascii="Georgia" w:hAnsi="Georgia" w:cstheme="minorHAnsi"/>
                <w:sz w:val="16"/>
                <w:szCs w:val="16"/>
              </w:rPr>
              <w:t xml:space="preserve">voting, </w:t>
            </w:r>
            <w:r w:rsidRPr="00314C12">
              <w:rPr>
                <w:rFonts w:ascii="Georgia" w:hAnsi="Georgia" w:cstheme="minorHAnsi"/>
                <w:sz w:val="16"/>
                <w:szCs w:val="16"/>
              </w:rPr>
              <w:t xml:space="preserve">engagement </w:t>
            </w:r>
            <w:r w:rsidR="0039457F" w:rsidRPr="00314C12">
              <w:rPr>
                <w:rFonts w:ascii="Georgia" w:hAnsi="Georgia" w:cstheme="minorHAnsi"/>
                <w:sz w:val="16"/>
                <w:szCs w:val="16"/>
              </w:rPr>
              <w:t xml:space="preserve">and ESG integration </w:t>
            </w:r>
            <w:r w:rsidRPr="00314C12">
              <w:rPr>
                <w:rFonts w:ascii="Georgia" w:hAnsi="Georgia" w:cstheme="minorHAnsi"/>
                <w:sz w:val="16"/>
                <w:szCs w:val="16"/>
              </w:rPr>
              <w:t>processes</w:t>
            </w:r>
            <w:r w:rsidR="0039457F" w:rsidRPr="00314C12">
              <w:rPr>
                <w:rFonts w:ascii="Georgia" w:hAnsi="Georgia" w:cstheme="minorHAnsi"/>
                <w:sz w:val="16"/>
                <w:szCs w:val="16"/>
              </w:rPr>
              <w:t xml:space="preserve"> and reports made available to clients. </w:t>
            </w:r>
          </w:p>
        </w:tc>
        <w:tc>
          <w:tcPr>
            <w:tcW w:w="2835" w:type="dxa"/>
            <w:tcBorders>
              <w:top w:val="single" w:sz="4" w:space="0" w:color="auto"/>
            </w:tcBorders>
            <w:shd w:val="clear" w:color="auto" w:fill="auto"/>
          </w:tcPr>
          <w:p w:rsidR="00006366" w:rsidRPr="00314C12" w:rsidRDefault="00006366" w:rsidP="009A5B0F">
            <w:pPr>
              <w:rPr>
                <w:rFonts w:ascii="Georgia" w:hAnsi="Georgia" w:cstheme="minorHAnsi"/>
                <w:sz w:val="16"/>
                <w:szCs w:val="16"/>
              </w:rPr>
            </w:pPr>
            <w:r w:rsidRPr="00314C12">
              <w:rPr>
                <w:rFonts w:ascii="Georgia" w:hAnsi="Georgia" w:cstheme="minorHAnsi"/>
                <w:sz w:val="16"/>
                <w:szCs w:val="16"/>
              </w:rPr>
              <w:t>Independent assurance obtained on voting or enga</w:t>
            </w:r>
            <w:r w:rsidR="00265F7B" w:rsidRPr="00314C12">
              <w:rPr>
                <w:rFonts w:ascii="Georgia" w:hAnsi="Georgia" w:cstheme="minorHAnsi"/>
                <w:sz w:val="16"/>
                <w:szCs w:val="16"/>
              </w:rPr>
              <w:t>gement processes.</w:t>
            </w:r>
          </w:p>
        </w:tc>
        <w:tc>
          <w:tcPr>
            <w:tcW w:w="2410" w:type="dxa"/>
            <w:tcBorders>
              <w:top w:val="single" w:sz="4" w:space="0" w:color="auto"/>
            </w:tcBorders>
            <w:shd w:val="clear" w:color="auto" w:fill="auto"/>
          </w:tcPr>
          <w:p w:rsidR="00006366" w:rsidRPr="00314C12" w:rsidRDefault="0039457F" w:rsidP="009A5B0F">
            <w:pPr>
              <w:rPr>
                <w:rFonts w:ascii="Georgia" w:hAnsi="Georgia" w:cstheme="minorHAnsi"/>
                <w:sz w:val="16"/>
                <w:szCs w:val="16"/>
              </w:rPr>
            </w:pPr>
            <w:r w:rsidRPr="00314C12">
              <w:rPr>
                <w:rFonts w:ascii="Georgia" w:hAnsi="Georgia" w:cstheme="minorHAnsi"/>
                <w:sz w:val="16"/>
                <w:szCs w:val="16"/>
              </w:rPr>
              <w:t>Internal assurance process established for voting and engagement processes.</w:t>
            </w:r>
          </w:p>
        </w:tc>
        <w:tc>
          <w:tcPr>
            <w:tcW w:w="2126" w:type="dxa"/>
            <w:tcBorders>
              <w:top w:val="single" w:sz="4" w:space="0" w:color="auto"/>
            </w:tcBorders>
            <w:shd w:val="clear" w:color="auto" w:fill="auto"/>
          </w:tcPr>
          <w:p w:rsidR="00006366" w:rsidRPr="00314C12" w:rsidRDefault="00006366" w:rsidP="009A5B0F">
            <w:pPr>
              <w:rPr>
                <w:rFonts w:ascii="Georgia" w:hAnsi="Georgia" w:cstheme="minorHAnsi"/>
                <w:sz w:val="16"/>
                <w:szCs w:val="16"/>
              </w:rPr>
            </w:pPr>
            <w:r w:rsidRPr="00314C12">
              <w:rPr>
                <w:rFonts w:ascii="Georgia" w:hAnsi="Georgia" w:cstheme="minorHAnsi"/>
                <w:sz w:val="16"/>
                <w:szCs w:val="16"/>
              </w:rPr>
              <w:t>No assurance reports on any voting or engagement processes</w:t>
            </w:r>
            <w:r w:rsidR="00265F7B" w:rsidRPr="00314C12">
              <w:rPr>
                <w:rFonts w:ascii="Georgia" w:hAnsi="Georgia" w:cstheme="minorHAnsi"/>
                <w:sz w:val="16"/>
                <w:szCs w:val="16"/>
              </w:rPr>
              <w:t>.</w:t>
            </w:r>
          </w:p>
        </w:tc>
        <w:tc>
          <w:tcPr>
            <w:tcW w:w="1843" w:type="dxa"/>
            <w:vMerge/>
            <w:tcBorders>
              <w:right w:val="single" w:sz="4" w:space="0" w:color="auto"/>
            </w:tcBorders>
          </w:tcPr>
          <w:p w:rsidR="00006366" w:rsidRPr="007473E9" w:rsidRDefault="00006366" w:rsidP="007473E9">
            <w:pPr>
              <w:jc w:val="both"/>
              <w:rPr>
                <w:sz w:val="16"/>
                <w:szCs w:val="16"/>
              </w:rPr>
            </w:pPr>
          </w:p>
        </w:tc>
      </w:tr>
      <w:tr w:rsidR="0085094F" w:rsidTr="00A91C1B">
        <w:trPr>
          <w:trHeight w:val="123"/>
        </w:trPr>
        <w:tc>
          <w:tcPr>
            <w:tcW w:w="1526" w:type="dxa"/>
            <w:vMerge w:val="restart"/>
            <w:shd w:val="clear" w:color="auto" w:fill="B6DDE8" w:themeFill="accent5" w:themeFillTint="66"/>
            <w:vAlign w:val="center"/>
          </w:tcPr>
          <w:p w:rsidR="0085094F" w:rsidRPr="00314C12" w:rsidRDefault="009A5B0F" w:rsidP="007B2C2B">
            <w:pPr>
              <w:jc w:val="center"/>
              <w:rPr>
                <w:rFonts w:ascii="Gotham XNarrow Bold" w:hAnsi="Gotham XNarrow Bold"/>
                <w:sz w:val="20"/>
              </w:rPr>
            </w:pPr>
            <w:r w:rsidRPr="00314C12">
              <w:rPr>
                <w:rFonts w:ascii="Gotham XNarrow Bold" w:hAnsi="Gotham XNarrow Bold"/>
                <w:sz w:val="20"/>
              </w:rPr>
              <w:t>INTEGRATING ESG</w:t>
            </w:r>
          </w:p>
          <w:p w:rsidR="0085094F" w:rsidRPr="00314C12" w:rsidRDefault="0085094F" w:rsidP="007B2C2B">
            <w:pPr>
              <w:jc w:val="center"/>
              <w:rPr>
                <w:rFonts w:ascii="Gotham XNarrow Bold" w:hAnsi="Gotham XNarrow Bold"/>
                <w:sz w:val="20"/>
              </w:rPr>
            </w:pPr>
          </w:p>
        </w:tc>
        <w:tc>
          <w:tcPr>
            <w:tcW w:w="1559" w:type="dxa"/>
            <w:shd w:val="clear" w:color="auto" w:fill="B6DDE8" w:themeFill="accent5" w:themeFillTint="66"/>
            <w:vAlign w:val="center"/>
          </w:tcPr>
          <w:p w:rsidR="0085094F" w:rsidRPr="00314C12" w:rsidDel="00B57D19" w:rsidRDefault="009A5B0F" w:rsidP="00B57D19">
            <w:pPr>
              <w:jc w:val="center"/>
              <w:rPr>
                <w:rFonts w:ascii="Gotham XNarrow Bold" w:hAnsi="Gotham XNarrow Bold"/>
                <w:sz w:val="20"/>
              </w:rPr>
            </w:pPr>
            <w:r w:rsidRPr="00314C12">
              <w:rPr>
                <w:rFonts w:ascii="Gotham XNarrow Bold" w:hAnsi="Gotham XNarrow Bold"/>
                <w:sz w:val="20"/>
              </w:rPr>
              <w:t>INVESTMENT DECISIONS</w:t>
            </w:r>
          </w:p>
        </w:tc>
        <w:tc>
          <w:tcPr>
            <w:tcW w:w="3402" w:type="dxa"/>
            <w:shd w:val="clear" w:color="auto" w:fill="auto"/>
          </w:tcPr>
          <w:p w:rsidR="0085094F" w:rsidRPr="00314C12" w:rsidRDefault="0085094F" w:rsidP="009A5B0F">
            <w:pPr>
              <w:rPr>
                <w:rFonts w:ascii="Georgia" w:hAnsi="Georgia" w:cstheme="minorHAnsi"/>
                <w:sz w:val="16"/>
                <w:szCs w:val="16"/>
              </w:rPr>
            </w:pPr>
            <w:r w:rsidRPr="00314C12">
              <w:rPr>
                <w:rFonts w:ascii="Georgia" w:hAnsi="Georgia" w:cstheme="minorHAnsi"/>
                <w:sz w:val="16"/>
                <w:szCs w:val="16"/>
              </w:rPr>
              <w:t xml:space="preserve">Demonstrable systematic integration of ESG factors within company analysis through internal and external research and culminating in </w:t>
            </w:r>
            <w:r w:rsidR="0039457F" w:rsidRPr="00314C12">
              <w:rPr>
                <w:rFonts w:ascii="Georgia" w:hAnsi="Georgia" w:cstheme="minorHAnsi"/>
                <w:sz w:val="16"/>
                <w:szCs w:val="16"/>
              </w:rPr>
              <w:t xml:space="preserve">evidenced </w:t>
            </w:r>
            <w:r w:rsidR="00540962" w:rsidRPr="00314C12">
              <w:rPr>
                <w:rFonts w:ascii="Georgia" w:hAnsi="Georgia" w:cstheme="minorHAnsi"/>
                <w:sz w:val="16"/>
                <w:szCs w:val="16"/>
              </w:rPr>
              <w:t xml:space="preserve">impact on </w:t>
            </w:r>
            <w:r w:rsidRPr="00314C12">
              <w:rPr>
                <w:rFonts w:ascii="Georgia" w:hAnsi="Georgia" w:cstheme="minorHAnsi"/>
                <w:sz w:val="16"/>
                <w:szCs w:val="16"/>
              </w:rPr>
              <w:t>investment decision</w:t>
            </w:r>
            <w:r w:rsidR="0039457F" w:rsidRPr="00314C12">
              <w:rPr>
                <w:rFonts w:ascii="Georgia" w:hAnsi="Georgia" w:cstheme="minorHAnsi"/>
                <w:sz w:val="16"/>
                <w:szCs w:val="16"/>
              </w:rPr>
              <w:t>s</w:t>
            </w:r>
            <w:r w:rsidRPr="00314C12">
              <w:rPr>
                <w:rFonts w:ascii="Georgia" w:hAnsi="Georgia" w:cstheme="minorHAnsi"/>
                <w:sz w:val="16"/>
                <w:szCs w:val="16"/>
              </w:rPr>
              <w:t>.</w:t>
            </w:r>
          </w:p>
        </w:tc>
        <w:tc>
          <w:tcPr>
            <w:tcW w:w="2835" w:type="dxa"/>
            <w:shd w:val="clear" w:color="auto" w:fill="auto"/>
          </w:tcPr>
          <w:p w:rsidR="0085094F" w:rsidRPr="00314C12" w:rsidRDefault="0085094F" w:rsidP="009A5B0F">
            <w:pPr>
              <w:rPr>
                <w:rFonts w:ascii="Georgia" w:hAnsi="Georgia" w:cstheme="minorHAnsi"/>
                <w:sz w:val="16"/>
                <w:szCs w:val="16"/>
              </w:rPr>
            </w:pPr>
            <w:r w:rsidRPr="00314C12">
              <w:rPr>
                <w:rFonts w:ascii="Georgia" w:hAnsi="Georgia" w:cstheme="minorHAnsi"/>
                <w:sz w:val="16"/>
                <w:szCs w:val="16"/>
              </w:rPr>
              <w:t xml:space="preserve">Demonstrable regular consideration of ESG factors within company analysis and investment decision process. </w:t>
            </w:r>
          </w:p>
        </w:tc>
        <w:tc>
          <w:tcPr>
            <w:tcW w:w="2410" w:type="dxa"/>
            <w:shd w:val="clear" w:color="auto" w:fill="auto"/>
          </w:tcPr>
          <w:p w:rsidR="0085094F" w:rsidRPr="00314C12" w:rsidRDefault="0085094F" w:rsidP="009A5B0F">
            <w:pPr>
              <w:rPr>
                <w:rFonts w:ascii="Georgia" w:hAnsi="Georgia" w:cstheme="minorHAnsi"/>
                <w:sz w:val="16"/>
                <w:szCs w:val="16"/>
              </w:rPr>
            </w:pPr>
            <w:r w:rsidRPr="00314C12">
              <w:rPr>
                <w:rFonts w:ascii="Georgia" w:hAnsi="Georgia" w:cstheme="minorHAnsi"/>
                <w:sz w:val="16"/>
                <w:szCs w:val="16"/>
              </w:rPr>
              <w:t>Minor consideration - i.e. as adjunct or final check – of ESG factors within company analysis and investment decision process.</w:t>
            </w:r>
          </w:p>
        </w:tc>
        <w:tc>
          <w:tcPr>
            <w:tcW w:w="2126" w:type="dxa"/>
            <w:shd w:val="clear" w:color="auto" w:fill="auto"/>
          </w:tcPr>
          <w:p w:rsidR="0085094F" w:rsidRPr="00314C12" w:rsidRDefault="0085094F" w:rsidP="009A5B0F">
            <w:pPr>
              <w:rPr>
                <w:rFonts w:ascii="Georgia" w:hAnsi="Georgia" w:cstheme="minorHAnsi"/>
                <w:sz w:val="16"/>
                <w:szCs w:val="16"/>
              </w:rPr>
            </w:pPr>
            <w:r w:rsidRPr="00314C12">
              <w:rPr>
                <w:rFonts w:ascii="Georgia" w:hAnsi="Georgia" w:cstheme="minorHAnsi"/>
                <w:sz w:val="16"/>
                <w:szCs w:val="16"/>
              </w:rPr>
              <w:t>No active consideration of ESG factors as part of the investment process.</w:t>
            </w:r>
          </w:p>
        </w:tc>
        <w:tc>
          <w:tcPr>
            <w:tcW w:w="1843" w:type="dxa"/>
          </w:tcPr>
          <w:p w:rsidR="0085094F" w:rsidRPr="007473E9" w:rsidRDefault="0085094F" w:rsidP="007473E9">
            <w:pPr>
              <w:jc w:val="both"/>
              <w:rPr>
                <w:sz w:val="16"/>
                <w:szCs w:val="16"/>
              </w:rPr>
            </w:pPr>
          </w:p>
        </w:tc>
      </w:tr>
      <w:tr w:rsidR="0085094F" w:rsidTr="00A91C1B">
        <w:trPr>
          <w:trHeight w:val="123"/>
        </w:trPr>
        <w:tc>
          <w:tcPr>
            <w:tcW w:w="1526" w:type="dxa"/>
            <w:vMerge/>
            <w:shd w:val="clear" w:color="auto" w:fill="B6DDE8" w:themeFill="accent5" w:themeFillTint="66"/>
            <w:vAlign w:val="center"/>
          </w:tcPr>
          <w:p w:rsidR="0085094F" w:rsidRPr="00314C12" w:rsidRDefault="0085094F" w:rsidP="007B2C2B">
            <w:pPr>
              <w:jc w:val="center"/>
              <w:rPr>
                <w:rFonts w:ascii="Gotham XNarrow Bold" w:hAnsi="Gotham XNarrow Bold"/>
                <w:sz w:val="20"/>
              </w:rPr>
            </w:pPr>
          </w:p>
        </w:tc>
        <w:tc>
          <w:tcPr>
            <w:tcW w:w="1559" w:type="dxa"/>
            <w:shd w:val="clear" w:color="auto" w:fill="B6DDE8" w:themeFill="accent5" w:themeFillTint="66"/>
            <w:vAlign w:val="center"/>
          </w:tcPr>
          <w:p w:rsidR="0085094F" w:rsidRPr="00314C12" w:rsidRDefault="009A5B0F" w:rsidP="0085094F">
            <w:pPr>
              <w:jc w:val="center"/>
              <w:rPr>
                <w:rFonts w:ascii="Gotham XNarrow Bold" w:hAnsi="Gotham XNarrow Bold"/>
                <w:sz w:val="20"/>
                <w:szCs w:val="20"/>
              </w:rPr>
            </w:pPr>
            <w:r w:rsidRPr="00314C12">
              <w:rPr>
                <w:rFonts w:ascii="Gotham XNarrow Bold" w:hAnsi="Gotham XNarrow Bold"/>
                <w:sz w:val="20"/>
              </w:rPr>
              <w:t>ENGAGEMENT ACTIVITIES</w:t>
            </w:r>
          </w:p>
        </w:tc>
        <w:tc>
          <w:tcPr>
            <w:tcW w:w="3402" w:type="dxa"/>
            <w:shd w:val="clear" w:color="auto" w:fill="auto"/>
          </w:tcPr>
          <w:p w:rsidR="0085094F" w:rsidRPr="00314C12" w:rsidRDefault="0085094F" w:rsidP="009A5B0F">
            <w:pPr>
              <w:rPr>
                <w:rFonts w:ascii="Georgia" w:hAnsi="Georgia" w:cstheme="minorHAnsi"/>
                <w:sz w:val="16"/>
                <w:szCs w:val="16"/>
              </w:rPr>
            </w:pPr>
            <w:r w:rsidRPr="00314C12">
              <w:rPr>
                <w:rFonts w:ascii="Georgia" w:hAnsi="Georgia" w:cstheme="minorHAnsi"/>
                <w:sz w:val="16"/>
                <w:szCs w:val="16"/>
              </w:rPr>
              <w:t xml:space="preserve">Demonstrable systematic process for identifying </w:t>
            </w:r>
            <w:r w:rsidR="007473E9" w:rsidRPr="00314C12">
              <w:rPr>
                <w:rFonts w:ascii="Georgia" w:hAnsi="Georgia" w:cstheme="minorHAnsi"/>
                <w:sz w:val="16"/>
                <w:szCs w:val="16"/>
              </w:rPr>
              <w:t xml:space="preserve">and prioritising </w:t>
            </w:r>
            <w:r w:rsidR="0039457F" w:rsidRPr="00314C12">
              <w:rPr>
                <w:rFonts w:ascii="Georgia" w:hAnsi="Georgia" w:cstheme="minorHAnsi"/>
                <w:sz w:val="16"/>
                <w:szCs w:val="16"/>
              </w:rPr>
              <w:t>assets/</w:t>
            </w:r>
            <w:r w:rsidRPr="00314C12">
              <w:rPr>
                <w:rFonts w:ascii="Georgia" w:hAnsi="Georgia" w:cstheme="minorHAnsi"/>
                <w:sz w:val="16"/>
                <w:szCs w:val="16"/>
              </w:rPr>
              <w:t xml:space="preserve">companies </w:t>
            </w:r>
            <w:r w:rsidR="00540962" w:rsidRPr="00314C12">
              <w:rPr>
                <w:rFonts w:ascii="Georgia" w:hAnsi="Georgia" w:cstheme="minorHAnsi"/>
                <w:sz w:val="16"/>
                <w:szCs w:val="16"/>
              </w:rPr>
              <w:t xml:space="preserve">across the portfolio </w:t>
            </w:r>
            <w:r w:rsidRPr="00314C12">
              <w:rPr>
                <w:rFonts w:ascii="Georgia" w:hAnsi="Georgia" w:cstheme="minorHAnsi"/>
                <w:sz w:val="16"/>
                <w:szCs w:val="16"/>
              </w:rPr>
              <w:t xml:space="preserve">for </w:t>
            </w:r>
            <w:r w:rsidR="00540962" w:rsidRPr="00314C12">
              <w:rPr>
                <w:rFonts w:ascii="Georgia" w:hAnsi="Georgia" w:cstheme="minorHAnsi"/>
                <w:sz w:val="16"/>
                <w:szCs w:val="16"/>
              </w:rPr>
              <w:t xml:space="preserve">proactive </w:t>
            </w:r>
            <w:r w:rsidRPr="00314C12">
              <w:rPr>
                <w:rFonts w:ascii="Georgia" w:hAnsi="Georgia" w:cstheme="minorHAnsi"/>
                <w:sz w:val="16"/>
                <w:szCs w:val="16"/>
              </w:rPr>
              <w:t xml:space="preserve">engagement </w:t>
            </w:r>
            <w:r w:rsidR="0039457F" w:rsidRPr="00314C12">
              <w:rPr>
                <w:rFonts w:ascii="Georgia" w:hAnsi="Georgia" w:cstheme="minorHAnsi"/>
                <w:sz w:val="16"/>
                <w:szCs w:val="16"/>
              </w:rPr>
              <w:t xml:space="preserve">undertaken in an integrated fashion </w:t>
            </w:r>
            <w:r w:rsidRPr="00314C12">
              <w:rPr>
                <w:rFonts w:ascii="Georgia" w:hAnsi="Georgia" w:cstheme="minorHAnsi"/>
                <w:sz w:val="16"/>
                <w:szCs w:val="16"/>
              </w:rPr>
              <w:t xml:space="preserve">upon </w:t>
            </w:r>
            <w:r w:rsidR="0039457F" w:rsidRPr="00314C12">
              <w:rPr>
                <w:rFonts w:ascii="Georgia" w:hAnsi="Georgia" w:cstheme="minorHAnsi"/>
                <w:sz w:val="16"/>
                <w:szCs w:val="16"/>
              </w:rPr>
              <w:t xml:space="preserve">detailed </w:t>
            </w:r>
            <w:r w:rsidRPr="00314C12">
              <w:rPr>
                <w:rFonts w:ascii="Georgia" w:hAnsi="Georgia" w:cstheme="minorHAnsi"/>
                <w:sz w:val="16"/>
                <w:szCs w:val="16"/>
              </w:rPr>
              <w:t xml:space="preserve">analysis of </w:t>
            </w:r>
            <w:r w:rsidR="0039457F" w:rsidRPr="00314C12">
              <w:rPr>
                <w:rFonts w:ascii="Georgia" w:hAnsi="Georgia" w:cstheme="minorHAnsi"/>
                <w:sz w:val="16"/>
                <w:szCs w:val="16"/>
              </w:rPr>
              <w:t>a full range of E, S and G risks/opportunities.</w:t>
            </w:r>
          </w:p>
        </w:tc>
        <w:tc>
          <w:tcPr>
            <w:tcW w:w="2835" w:type="dxa"/>
            <w:shd w:val="clear" w:color="auto" w:fill="auto"/>
          </w:tcPr>
          <w:p w:rsidR="0085094F" w:rsidRPr="00314C12" w:rsidRDefault="0085094F" w:rsidP="009A5B0F">
            <w:pPr>
              <w:rPr>
                <w:rFonts w:ascii="Georgia" w:hAnsi="Georgia" w:cstheme="minorHAnsi"/>
                <w:sz w:val="16"/>
                <w:szCs w:val="16"/>
              </w:rPr>
            </w:pPr>
            <w:r w:rsidRPr="00314C12">
              <w:rPr>
                <w:rFonts w:ascii="Georgia" w:hAnsi="Georgia" w:cstheme="minorHAnsi"/>
                <w:sz w:val="16"/>
                <w:szCs w:val="16"/>
              </w:rPr>
              <w:t>Demonstrable process for identifying companies for engagement based upon analysis of</w:t>
            </w:r>
            <w:r w:rsidR="0039457F" w:rsidRPr="00314C12">
              <w:rPr>
                <w:rFonts w:ascii="Georgia" w:hAnsi="Georgia" w:cstheme="minorHAnsi"/>
                <w:sz w:val="16"/>
                <w:szCs w:val="16"/>
              </w:rPr>
              <w:t xml:space="preserve"> a broad range of</w:t>
            </w:r>
            <w:r w:rsidRPr="00314C12">
              <w:rPr>
                <w:rFonts w:ascii="Georgia" w:hAnsi="Georgia" w:cstheme="minorHAnsi"/>
                <w:sz w:val="16"/>
                <w:szCs w:val="16"/>
              </w:rPr>
              <w:t xml:space="preserve"> ESG risks/opportunities. </w:t>
            </w:r>
          </w:p>
        </w:tc>
        <w:tc>
          <w:tcPr>
            <w:tcW w:w="2410" w:type="dxa"/>
            <w:shd w:val="clear" w:color="auto" w:fill="auto"/>
          </w:tcPr>
          <w:p w:rsidR="0085094F" w:rsidRPr="00314C12" w:rsidRDefault="0085094F" w:rsidP="009A5B0F">
            <w:pPr>
              <w:rPr>
                <w:rFonts w:ascii="Georgia" w:hAnsi="Georgia" w:cstheme="minorHAnsi"/>
                <w:sz w:val="16"/>
                <w:szCs w:val="16"/>
              </w:rPr>
            </w:pPr>
            <w:r w:rsidRPr="00314C12">
              <w:rPr>
                <w:rFonts w:ascii="Georgia" w:hAnsi="Georgia" w:cstheme="minorHAnsi"/>
                <w:sz w:val="16"/>
                <w:szCs w:val="16"/>
              </w:rPr>
              <w:t>Demonstrable record of engaging</w:t>
            </w:r>
            <w:r w:rsidR="0039457F" w:rsidRPr="00314C12">
              <w:rPr>
                <w:rFonts w:ascii="Georgia" w:hAnsi="Georgia" w:cstheme="minorHAnsi"/>
                <w:sz w:val="16"/>
                <w:szCs w:val="16"/>
              </w:rPr>
              <w:t>, commonly reactively,</w:t>
            </w:r>
            <w:r w:rsidRPr="00314C12">
              <w:rPr>
                <w:rFonts w:ascii="Georgia" w:hAnsi="Georgia" w:cstheme="minorHAnsi"/>
                <w:sz w:val="16"/>
                <w:szCs w:val="16"/>
              </w:rPr>
              <w:t xml:space="preserve"> with investee</w:t>
            </w:r>
            <w:r w:rsidR="0039457F" w:rsidRPr="00314C12">
              <w:rPr>
                <w:rFonts w:ascii="Georgia" w:hAnsi="Georgia" w:cstheme="minorHAnsi"/>
                <w:sz w:val="16"/>
                <w:szCs w:val="16"/>
              </w:rPr>
              <w:t xml:space="preserve"> companies</w:t>
            </w:r>
            <w:r w:rsidRPr="00314C12">
              <w:rPr>
                <w:rFonts w:ascii="Georgia" w:hAnsi="Georgia" w:cstheme="minorHAnsi"/>
                <w:sz w:val="16"/>
                <w:szCs w:val="16"/>
              </w:rPr>
              <w:t xml:space="preserve"> on ESG risks/opportunities</w:t>
            </w:r>
            <w:r w:rsidR="0039457F" w:rsidRPr="00314C12">
              <w:rPr>
                <w:rFonts w:ascii="Georgia" w:hAnsi="Georgia" w:cstheme="minorHAnsi"/>
                <w:sz w:val="16"/>
                <w:szCs w:val="16"/>
              </w:rPr>
              <w:t>.</w:t>
            </w:r>
          </w:p>
        </w:tc>
        <w:tc>
          <w:tcPr>
            <w:tcW w:w="2126" w:type="dxa"/>
            <w:shd w:val="clear" w:color="auto" w:fill="auto"/>
          </w:tcPr>
          <w:p w:rsidR="0085094F" w:rsidRPr="00314C12" w:rsidRDefault="0085094F" w:rsidP="009A5B0F">
            <w:pPr>
              <w:rPr>
                <w:rFonts w:ascii="Georgia" w:hAnsi="Georgia" w:cstheme="minorHAnsi"/>
                <w:sz w:val="16"/>
                <w:szCs w:val="16"/>
              </w:rPr>
            </w:pPr>
            <w:r w:rsidRPr="00314C12">
              <w:rPr>
                <w:rFonts w:ascii="Georgia" w:hAnsi="Georgia" w:cstheme="minorHAnsi"/>
                <w:sz w:val="16"/>
                <w:szCs w:val="16"/>
              </w:rPr>
              <w:t xml:space="preserve">No active consideration of ESG factors and/or no engagement with investee companies. </w:t>
            </w:r>
          </w:p>
        </w:tc>
        <w:tc>
          <w:tcPr>
            <w:tcW w:w="1843" w:type="dxa"/>
          </w:tcPr>
          <w:p w:rsidR="0085094F" w:rsidRPr="007473E9" w:rsidRDefault="0085094F" w:rsidP="007473E9">
            <w:pPr>
              <w:jc w:val="both"/>
              <w:rPr>
                <w:sz w:val="16"/>
                <w:szCs w:val="16"/>
              </w:rPr>
            </w:pPr>
          </w:p>
        </w:tc>
      </w:tr>
      <w:tr w:rsidR="007D454D" w:rsidTr="00A91C1B">
        <w:trPr>
          <w:trHeight w:val="62"/>
        </w:trPr>
        <w:tc>
          <w:tcPr>
            <w:tcW w:w="1526" w:type="dxa"/>
            <w:vMerge w:val="restart"/>
            <w:shd w:val="clear" w:color="auto" w:fill="B6DDE8" w:themeFill="accent5" w:themeFillTint="66"/>
            <w:vAlign w:val="center"/>
          </w:tcPr>
          <w:p w:rsidR="007D454D" w:rsidRPr="00314C12" w:rsidRDefault="009A5B0F" w:rsidP="007B2C2B">
            <w:pPr>
              <w:jc w:val="center"/>
              <w:rPr>
                <w:rFonts w:ascii="Gotham XNarrow Bold" w:hAnsi="Gotham XNarrow Bold"/>
                <w:sz w:val="20"/>
              </w:rPr>
            </w:pPr>
            <w:r w:rsidRPr="00314C12">
              <w:rPr>
                <w:rFonts w:ascii="Gotham XNarrow Bold" w:hAnsi="Gotham XNarrow Bold"/>
                <w:sz w:val="20"/>
              </w:rPr>
              <w:t>MANAGING CONFLICTS</w:t>
            </w:r>
          </w:p>
          <w:p w:rsidR="007D454D" w:rsidRPr="00314C12" w:rsidRDefault="007D454D" w:rsidP="007B2C2B">
            <w:pPr>
              <w:jc w:val="center"/>
              <w:rPr>
                <w:rFonts w:ascii="Gotham XNarrow Bold" w:hAnsi="Gotham XNarrow Bold"/>
                <w:i/>
              </w:rPr>
            </w:pPr>
          </w:p>
        </w:tc>
        <w:tc>
          <w:tcPr>
            <w:tcW w:w="1559" w:type="dxa"/>
            <w:vMerge w:val="restart"/>
            <w:shd w:val="clear" w:color="auto" w:fill="B6DDE8" w:themeFill="accent5" w:themeFillTint="66"/>
            <w:vAlign w:val="center"/>
          </w:tcPr>
          <w:p w:rsidR="007D454D" w:rsidRPr="00314C12" w:rsidRDefault="009A5B0F" w:rsidP="007B2C2B">
            <w:pPr>
              <w:jc w:val="center"/>
              <w:rPr>
                <w:rFonts w:ascii="Gotham XNarrow Bold" w:hAnsi="Gotham XNarrow Bold"/>
                <w:sz w:val="20"/>
                <w:szCs w:val="20"/>
              </w:rPr>
            </w:pPr>
            <w:r w:rsidRPr="00314C12">
              <w:rPr>
                <w:rFonts w:ascii="Gotham XNarrow Bold" w:hAnsi="Gotham XNarrow Bold"/>
                <w:sz w:val="20"/>
                <w:szCs w:val="20"/>
              </w:rPr>
              <w:t>STEWARDSHIP CONFLICTS POLICY</w:t>
            </w:r>
          </w:p>
        </w:tc>
        <w:tc>
          <w:tcPr>
            <w:tcW w:w="3402" w:type="dxa"/>
            <w:shd w:val="clear" w:color="auto" w:fill="auto"/>
          </w:tcPr>
          <w:p w:rsidR="007D454D" w:rsidRPr="00314C12" w:rsidRDefault="00314C12" w:rsidP="009A5B0F">
            <w:pPr>
              <w:rPr>
                <w:rFonts w:ascii="Georgia" w:hAnsi="Georgia" w:cstheme="minorHAnsi"/>
                <w:sz w:val="16"/>
                <w:szCs w:val="16"/>
              </w:rPr>
            </w:pPr>
            <w:r>
              <w:rPr>
                <w:rFonts w:ascii="Georgia" w:hAnsi="Georgia" w:cstheme="minorHAnsi"/>
                <w:sz w:val="16"/>
                <w:szCs w:val="16"/>
              </w:rPr>
              <w:t>S</w:t>
            </w:r>
            <w:r w:rsidR="007D454D" w:rsidRPr="00314C12">
              <w:rPr>
                <w:rFonts w:ascii="Georgia" w:hAnsi="Georgia" w:cstheme="minorHAnsi"/>
                <w:sz w:val="16"/>
                <w:szCs w:val="16"/>
              </w:rPr>
              <w:t xml:space="preserve">pecific publicly disclosed stewardship conflicts of interest policy is in place which documents all material conflicts - including </w:t>
            </w:r>
            <w:r w:rsidR="007053C8" w:rsidRPr="00314C12">
              <w:rPr>
                <w:rFonts w:ascii="Georgia" w:hAnsi="Georgia" w:cstheme="minorHAnsi"/>
                <w:sz w:val="16"/>
                <w:szCs w:val="16"/>
              </w:rPr>
              <w:t xml:space="preserve">those related to </w:t>
            </w:r>
            <w:r w:rsidR="007D454D" w:rsidRPr="00314C12">
              <w:rPr>
                <w:rFonts w:ascii="Georgia" w:hAnsi="Georgia" w:cstheme="minorHAnsi"/>
                <w:sz w:val="16"/>
                <w:szCs w:val="16"/>
              </w:rPr>
              <w:t xml:space="preserve">engagement and proxy voting – </w:t>
            </w:r>
            <w:r w:rsidR="0039457F" w:rsidRPr="00314C12">
              <w:rPr>
                <w:rFonts w:ascii="Georgia" w:hAnsi="Georgia" w:cstheme="minorHAnsi"/>
                <w:sz w:val="16"/>
                <w:szCs w:val="16"/>
              </w:rPr>
              <w:t xml:space="preserve">with associated plans to manage, </w:t>
            </w:r>
            <w:r w:rsidR="007D454D" w:rsidRPr="00314C12">
              <w:rPr>
                <w:rFonts w:ascii="Georgia" w:hAnsi="Georgia" w:cstheme="minorHAnsi"/>
                <w:sz w:val="16"/>
                <w:szCs w:val="16"/>
              </w:rPr>
              <w:t xml:space="preserve">mitigate and ensure client interests are prioritised. </w:t>
            </w:r>
          </w:p>
        </w:tc>
        <w:tc>
          <w:tcPr>
            <w:tcW w:w="2835" w:type="dxa"/>
            <w:shd w:val="clear" w:color="auto" w:fill="auto"/>
          </w:tcPr>
          <w:p w:rsidR="007D454D" w:rsidRPr="00314C12" w:rsidRDefault="007D454D" w:rsidP="009A5B0F">
            <w:pPr>
              <w:rPr>
                <w:rFonts w:ascii="Georgia" w:hAnsi="Georgia" w:cstheme="minorHAnsi"/>
                <w:sz w:val="16"/>
                <w:szCs w:val="16"/>
              </w:rPr>
            </w:pPr>
            <w:r w:rsidRPr="00314C12">
              <w:rPr>
                <w:rFonts w:ascii="Georgia" w:hAnsi="Georgia" w:cstheme="minorHAnsi"/>
                <w:sz w:val="16"/>
                <w:szCs w:val="16"/>
              </w:rPr>
              <w:t xml:space="preserve">Specific stewardship conflicts are included within the </w:t>
            </w:r>
            <w:r w:rsidR="0039457F" w:rsidRPr="00314C12">
              <w:rPr>
                <w:rFonts w:ascii="Georgia" w:hAnsi="Georgia" w:cstheme="minorHAnsi"/>
                <w:sz w:val="16"/>
                <w:szCs w:val="16"/>
              </w:rPr>
              <w:t xml:space="preserve">publicly disclosed </w:t>
            </w:r>
            <w:r w:rsidRPr="00314C12">
              <w:rPr>
                <w:rFonts w:ascii="Georgia" w:hAnsi="Georgia" w:cstheme="minorHAnsi"/>
                <w:sz w:val="16"/>
                <w:szCs w:val="16"/>
              </w:rPr>
              <w:t xml:space="preserve">firm level </w:t>
            </w:r>
            <w:r w:rsidR="007053C8" w:rsidRPr="00314C12">
              <w:rPr>
                <w:rFonts w:ascii="Georgia" w:hAnsi="Georgia" w:cstheme="minorHAnsi"/>
                <w:sz w:val="16"/>
                <w:szCs w:val="16"/>
              </w:rPr>
              <w:t xml:space="preserve">general </w:t>
            </w:r>
            <w:r w:rsidRPr="00314C12">
              <w:rPr>
                <w:rFonts w:ascii="Georgia" w:hAnsi="Georgia" w:cstheme="minorHAnsi"/>
                <w:sz w:val="16"/>
                <w:szCs w:val="16"/>
              </w:rPr>
              <w:t>conflicts of interest policy with information given as to how</w:t>
            </w:r>
            <w:r w:rsidR="0039457F" w:rsidRPr="00314C12">
              <w:rPr>
                <w:rFonts w:ascii="Georgia" w:hAnsi="Georgia" w:cstheme="minorHAnsi"/>
                <w:sz w:val="16"/>
                <w:szCs w:val="16"/>
              </w:rPr>
              <w:t xml:space="preserve"> such</w:t>
            </w:r>
            <w:r w:rsidRPr="00314C12">
              <w:rPr>
                <w:rFonts w:ascii="Georgia" w:hAnsi="Georgia" w:cstheme="minorHAnsi"/>
                <w:sz w:val="16"/>
                <w:szCs w:val="16"/>
              </w:rPr>
              <w:t xml:space="preserve"> conflicts are mitigated.</w:t>
            </w:r>
          </w:p>
        </w:tc>
        <w:tc>
          <w:tcPr>
            <w:tcW w:w="2410" w:type="dxa"/>
            <w:shd w:val="clear" w:color="auto" w:fill="auto"/>
          </w:tcPr>
          <w:p w:rsidR="007D454D" w:rsidRPr="00314C12" w:rsidRDefault="007D454D" w:rsidP="009A5B0F">
            <w:pPr>
              <w:rPr>
                <w:rFonts w:ascii="Georgia" w:hAnsi="Georgia" w:cstheme="minorHAnsi"/>
                <w:sz w:val="16"/>
                <w:szCs w:val="16"/>
              </w:rPr>
            </w:pPr>
            <w:r w:rsidRPr="00314C12">
              <w:rPr>
                <w:rFonts w:ascii="Georgia" w:hAnsi="Georgia" w:cstheme="minorHAnsi"/>
                <w:sz w:val="16"/>
                <w:szCs w:val="16"/>
              </w:rPr>
              <w:t xml:space="preserve">Specific stewardship conflicts are acknowledged and processes in place to manage and mitigate these however, such policy is not publicly available. </w:t>
            </w:r>
          </w:p>
        </w:tc>
        <w:tc>
          <w:tcPr>
            <w:tcW w:w="2126" w:type="dxa"/>
            <w:shd w:val="clear" w:color="auto" w:fill="auto"/>
          </w:tcPr>
          <w:p w:rsidR="007D454D" w:rsidRPr="00314C12" w:rsidRDefault="007D454D" w:rsidP="009A5B0F">
            <w:pPr>
              <w:rPr>
                <w:rFonts w:ascii="Georgia" w:hAnsi="Georgia" w:cstheme="minorHAnsi"/>
                <w:sz w:val="16"/>
                <w:szCs w:val="16"/>
              </w:rPr>
            </w:pPr>
            <w:r w:rsidRPr="00314C12">
              <w:rPr>
                <w:rFonts w:ascii="Georgia" w:hAnsi="Georgia" w:cstheme="minorHAnsi"/>
                <w:sz w:val="16"/>
                <w:szCs w:val="16"/>
              </w:rPr>
              <w:t xml:space="preserve">There is no </w:t>
            </w:r>
            <w:r w:rsidR="0039457F" w:rsidRPr="00314C12">
              <w:rPr>
                <w:rFonts w:ascii="Georgia" w:hAnsi="Georgia" w:cstheme="minorHAnsi"/>
                <w:sz w:val="16"/>
                <w:szCs w:val="16"/>
              </w:rPr>
              <w:t xml:space="preserve">specific </w:t>
            </w:r>
            <w:r w:rsidRPr="00314C12">
              <w:rPr>
                <w:rFonts w:ascii="Georgia" w:hAnsi="Georgia" w:cstheme="minorHAnsi"/>
                <w:sz w:val="16"/>
                <w:szCs w:val="16"/>
              </w:rPr>
              <w:t>stewardship conflicts of interest policy.</w:t>
            </w:r>
          </w:p>
        </w:tc>
        <w:tc>
          <w:tcPr>
            <w:tcW w:w="1843" w:type="dxa"/>
            <w:vMerge w:val="restart"/>
          </w:tcPr>
          <w:p w:rsidR="007D454D" w:rsidRPr="007473E9" w:rsidRDefault="007D454D" w:rsidP="007473E9">
            <w:pPr>
              <w:jc w:val="both"/>
              <w:rPr>
                <w:sz w:val="16"/>
                <w:szCs w:val="16"/>
              </w:rPr>
            </w:pPr>
          </w:p>
        </w:tc>
      </w:tr>
      <w:tr w:rsidR="007D454D" w:rsidTr="00E1674F">
        <w:trPr>
          <w:trHeight w:val="73"/>
        </w:trPr>
        <w:tc>
          <w:tcPr>
            <w:tcW w:w="1526" w:type="dxa"/>
            <w:vMerge/>
            <w:tcBorders>
              <w:bottom w:val="single" w:sz="4" w:space="0" w:color="auto"/>
            </w:tcBorders>
            <w:shd w:val="clear" w:color="auto" w:fill="B6DDE8" w:themeFill="accent5" w:themeFillTint="66"/>
            <w:vAlign w:val="center"/>
          </w:tcPr>
          <w:p w:rsidR="007D454D" w:rsidRPr="00314C12" w:rsidRDefault="007D454D" w:rsidP="007B2C2B">
            <w:pPr>
              <w:jc w:val="center"/>
              <w:rPr>
                <w:rFonts w:ascii="Gotham XNarrow Bold" w:hAnsi="Gotham XNarrow Bold"/>
              </w:rPr>
            </w:pPr>
          </w:p>
        </w:tc>
        <w:tc>
          <w:tcPr>
            <w:tcW w:w="1559" w:type="dxa"/>
            <w:vMerge/>
            <w:tcBorders>
              <w:bottom w:val="single" w:sz="4" w:space="0" w:color="auto"/>
            </w:tcBorders>
            <w:shd w:val="clear" w:color="auto" w:fill="B6DDE8" w:themeFill="accent5" w:themeFillTint="66"/>
            <w:vAlign w:val="center"/>
          </w:tcPr>
          <w:p w:rsidR="007D454D" w:rsidRPr="00314C12" w:rsidRDefault="007D454D" w:rsidP="007B2C2B">
            <w:pPr>
              <w:jc w:val="center"/>
              <w:rPr>
                <w:rFonts w:ascii="Gotham XNarrow Bold" w:hAnsi="Gotham XNarrow Bold"/>
                <w:sz w:val="20"/>
                <w:szCs w:val="20"/>
              </w:rPr>
            </w:pPr>
          </w:p>
        </w:tc>
        <w:tc>
          <w:tcPr>
            <w:tcW w:w="10773" w:type="dxa"/>
            <w:gridSpan w:val="4"/>
            <w:tcBorders>
              <w:bottom w:val="single" w:sz="4" w:space="0" w:color="auto"/>
            </w:tcBorders>
            <w:shd w:val="clear" w:color="auto" w:fill="F2F2F2" w:themeFill="background1" w:themeFillShade="F2"/>
          </w:tcPr>
          <w:p w:rsidR="007D454D" w:rsidRDefault="007A782D" w:rsidP="009A5B0F">
            <w:pPr>
              <w:rPr>
                <w:rFonts w:cstheme="minorHAnsi"/>
                <w:sz w:val="16"/>
                <w:szCs w:val="16"/>
              </w:rPr>
            </w:pPr>
            <w:r>
              <w:rPr>
                <w:rFonts w:cstheme="minorHAnsi"/>
                <w:sz w:val="16"/>
                <w:szCs w:val="16"/>
              </w:rPr>
              <w:t>&lt;&lt;Insert web link here&gt;&gt;</w:t>
            </w:r>
          </w:p>
        </w:tc>
        <w:tc>
          <w:tcPr>
            <w:tcW w:w="1843" w:type="dxa"/>
            <w:vMerge/>
          </w:tcPr>
          <w:p w:rsidR="007D454D" w:rsidRPr="007473E9" w:rsidRDefault="007D454D" w:rsidP="007473E9">
            <w:pPr>
              <w:jc w:val="both"/>
              <w:rPr>
                <w:sz w:val="16"/>
                <w:szCs w:val="16"/>
              </w:rPr>
            </w:pPr>
          </w:p>
        </w:tc>
      </w:tr>
      <w:tr w:rsidR="007053C8" w:rsidTr="00060BA7">
        <w:trPr>
          <w:trHeight w:val="118"/>
        </w:trPr>
        <w:tc>
          <w:tcPr>
            <w:tcW w:w="1526" w:type="dxa"/>
            <w:shd w:val="clear" w:color="auto" w:fill="B6DDE8" w:themeFill="accent5" w:themeFillTint="66"/>
            <w:vAlign w:val="center"/>
          </w:tcPr>
          <w:p w:rsidR="00060BA7" w:rsidRPr="00314C12" w:rsidRDefault="00060BA7" w:rsidP="00060BA7">
            <w:pPr>
              <w:jc w:val="center"/>
              <w:rPr>
                <w:rFonts w:ascii="Gotham XNarrow Bold" w:hAnsi="Gotham XNarrow Bold"/>
                <w:sz w:val="20"/>
                <w:szCs w:val="20"/>
              </w:rPr>
            </w:pPr>
          </w:p>
          <w:p w:rsidR="007053C8" w:rsidRPr="00314C12" w:rsidRDefault="009A5B0F" w:rsidP="00060BA7">
            <w:pPr>
              <w:jc w:val="center"/>
              <w:rPr>
                <w:rFonts w:ascii="Gotham XNarrow Bold" w:hAnsi="Gotham XNarrow Bold"/>
                <w:i/>
                <w:sz w:val="20"/>
                <w:szCs w:val="20"/>
              </w:rPr>
            </w:pPr>
            <w:r w:rsidRPr="00314C12">
              <w:rPr>
                <w:rFonts w:ascii="Gotham XNarrow Bold" w:hAnsi="Gotham XNarrow Bold"/>
                <w:sz w:val="20"/>
                <w:szCs w:val="20"/>
              </w:rPr>
              <w:t>COLLABORATION</w:t>
            </w:r>
          </w:p>
          <w:p w:rsidR="007053C8" w:rsidRPr="00314C12" w:rsidRDefault="007053C8" w:rsidP="00060BA7">
            <w:pPr>
              <w:jc w:val="center"/>
              <w:rPr>
                <w:rFonts w:ascii="Gotham XNarrow Bold" w:hAnsi="Gotham XNarrow Bold"/>
                <w:sz w:val="20"/>
                <w:szCs w:val="20"/>
              </w:rPr>
            </w:pPr>
          </w:p>
        </w:tc>
        <w:tc>
          <w:tcPr>
            <w:tcW w:w="1559" w:type="dxa"/>
            <w:shd w:val="clear" w:color="auto" w:fill="B6DDE8" w:themeFill="accent5" w:themeFillTint="66"/>
            <w:vAlign w:val="center"/>
          </w:tcPr>
          <w:p w:rsidR="007053C8" w:rsidRPr="00314C12" w:rsidRDefault="009A5B0F" w:rsidP="00295153">
            <w:pPr>
              <w:jc w:val="center"/>
              <w:rPr>
                <w:rFonts w:ascii="Gotham XNarrow Bold" w:hAnsi="Gotham XNarrow Bold"/>
                <w:sz w:val="20"/>
                <w:szCs w:val="20"/>
              </w:rPr>
            </w:pPr>
            <w:r w:rsidRPr="00314C12">
              <w:rPr>
                <w:rFonts w:ascii="Gotham XNarrow Bold" w:hAnsi="Gotham XNarrow Bold"/>
                <w:sz w:val="20"/>
                <w:szCs w:val="20"/>
              </w:rPr>
              <w:lastRenderedPageBreak/>
              <w:t>ACTIVITY</w:t>
            </w:r>
          </w:p>
        </w:tc>
        <w:tc>
          <w:tcPr>
            <w:tcW w:w="3402" w:type="dxa"/>
            <w:shd w:val="clear" w:color="auto" w:fill="auto"/>
          </w:tcPr>
          <w:p w:rsidR="007053C8" w:rsidRPr="00314C12" w:rsidRDefault="00BC4D13" w:rsidP="009A5B0F">
            <w:pPr>
              <w:rPr>
                <w:rFonts w:ascii="Georgia" w:hAnsi="Georgia" w:cstheme="minorHAnsi"/>
                <w:sz w:val="16"/>
                <w:szCs w:val="16"/>
              </w:rPr>
            </w:pPr>
            <w:r w:rsidRPr="00314C12">
              <w:rPr>
                <w:rFonts w:ascii="Georgia" w:hAnsi="Georgia" w:cstheme="minorHAnsi"/>
                <w:sz w:val="16"/>
                <w:szCs w:val="16"/>
              </w:rPr>
              <w:t>R</w:t>
            </w:r>
            <w:r w:rsidR="007053C8" w:rsidRPr="00314C12">
              <w:rPr>
                <w:rFonts w:ascii="Georgia" w:hAnsi="Georgia" w:cstheme="minorHAnsi"/>
                <w:sz w:val="16"/>
                <w:szCs w:val="16"/>
              </w:rPr>
              <w:t xml:space="preserve">egularly </w:t>
            </w:r>
            <w:r w:rsidR="0039457F" w:rsidRPr="00314C12">
              <w:rPr>
                <w:rFonts w:ascii="Georgia" w:hAnsi="Georgia" w:cstheme="minorHAnsi"/>
                <w:sz w:val="16"/>
                <w:szCs w:val="16"/>
              </w:rPr>
              <w:t xml:space="preserve">and </w:t>
            </w:r>
            <w:r w:rsidR="007053C8" w:rsidRPr="00314C12">
              <w:rPr>
                <w:rFonts w:ascii="Georgia" w:hAnsi="Georgia" w:cstheme="minorHAnsi"/>
                <w:sz w:val="16"/>
                <w:szCs w:val="16"/>
              </w:rPr>
              <w:t xml:space="preserve">proactively collaborates with </w:t>
            </w:r>
            <w:r w:rsidRPr="00314C12">
              <w:rPr>
                <w:rFonts w:ascii="Georgia" w:hAnsi="Georgia" w:cstheme="minorHAnsi"/>
                <w:sz w:val="16"/>
                <w:szCs w:val="16"/>
              </w:rPr>
              <w:t xml:space="preserve">peers, and, on occasion, plays a leadership role </w:t>
            </w:r>
            <w:r w:rsidR="007053C8" w:rsidRPr="00314C12">
              <w:rPr>
                <w:rFonts w:ascii="Georgia" w:hAnsi="Georgia" w:cstheme="minorHAnsi"/>
                <w:sz w:val="16"/>
                <w:szCs w:val="16"/>
              </w:rPr>
              <w:t>on company engagements during</w:t>
            </w:r>
            <w:r w:rsidR="00590B42" w:rsidRPr="00314C12">
              <w:rPr>
                <w:rFonts w:ascii="Georgia" w:hAnsi="Georgia" w:cstheme="minorHAnsi"/>
                <w:sz w:val="16"/>
                <w:szCs w:val="16"/>
              </w:rPr>
              <w:t xml:space="preserve"> the</w:t>
            </w:r>
            <w:r w:rsidR="007053C8" w:rsidRPr="00314C12">
              <w:rPr>
                <w:rFonts w:ascii="Georgia" w:hAnsi="Georgia" w:cstheme="minorHAnsi"/>
                <w:sz w:val="16"/>
                <w:szCs w:val="16"/>
              </w:rPr>
              <w:t xml:space="preserve"> </w:t>
            </w:r>
            <w:r w:rsidR="007053C8" w:rsidRPr="00314C12">
              <w:rPr>
                <w:rFonts w:ascii="Georgia" w:hAnsi="Georgia" w:cstheme="minorHAnsi"/>
                <w:sz w:val="16"/>
                <w:szCs w:val="16"/>
              </w:rPr>
              <w:lastRenderedPageBreak/>
              <w:t>past 12 months.</w:t>
            </w:r>
          </w:p>
        </w:tc>
        <w:tc>
          <w:tcPr>
            <w:tcW w:w="2835" w:type="dxa"/>
            <w:shd w:val="clear" w:color="auto" w:fill="auto"/>
          </w:tcPr>
          <w:p w:rsidR="007053C8" w:rsidRPr="00314C12" w:rsidRDefault="007053C8" w:rsidP="009A5B0F">
            <w:pPr>
              <w:rPr>
                <w:rFonts w:ascii="Georgia" w:hAnsi="Georgia" w:cstheme="minorHAnsi"/>
                <w:sz w:val="16"/>
                <w:szCs w:val="16"/>
              </w:rPr>
            </w:pPr>
            <w:r w:rsidRPr="00314C12">
              <w:rPr>
                <w:rFonts w:ascii="Georgia" w:hAnsi="Georgia" w:cstheme="minorHAnsi"/>
                <w:sz w:val="16"/>
                <w:szCs w:val="16"/>
              </w:rPr>
              <w:lastRenderedPageBreak/>
              <w:t xml:space="preserve">Has </w:t>
            </w:r>
            <w:r w:rsidR="0039457F" w:rsidRPr="00314C12">
              <w:rPr>
                <w:rFonts w:ascii="Georgia" w:hAnsi="Georgia" w:cstheme="minorHAnsi"/>
                <w:sz w:val="16"/>
                <w:szCs w:val="16"/>
              </w:rPr>
              <w:t xml:space="preserve">supported </w:t>
            </w:r>
            <w:r w:rsidRPr="00314C12">
              <w:rPr>
                <w:rFonts w:ascii="Georgia" w:hAnsi="Georgia" w:cstheme="minorHAnsi"/>
                <w:sz w:val="16"/>
                <w:szCs w:val="16"/>
              </w:rPr>
              <w:t>collaborative company engagements in past 12 months.</w:t>
            </w:r>
          </w:p>
        </w:tc>
        <w:tc>
          <w:tcPr>
            <w:tcW w:w="2410" w:type="dxa"/>
            <w:shd w:val="clear" w:color="auto" w:fill="auto"/>
          </w:tcPr>
          <w:p w:rsidR="007053C8" w:rsidRPr="00314C12" w:rsidRDefault="007053C8" w:rsidP="009A5B0F">
            <w:pPr>
              <w:rPr>
                <w:rFonts w:ascii="Georgia" w:hAnsi="Georgia" w:cstheme="minorHAnsi"/>
                <w:sz w:val="16"/>
                <w:szCs w:val="16"/>
              </w:rPr>
            </w:pPr>
            <w:r w:rsidRPr="00314C12">
              <w:rPr>
                <w:rFonts w:ascii="Georgia" w:hAnsi="Georgia" w:cstheme="minorHAnsi"/>
                <w:sz w:val="16"/>
                <w:szCs w:val="16"/>
              </w:rPr>
              <w:t xml:space="preserve">Is willing </w:t>
            </w:r>
            <w:r w:rsidR="002A4573" w:rsidRPr="00314C12">
              <w:rPr>
                <w:rFonts w:ascii="Georgia" w:hAnsi="Georgia" w:cstheme="minorHAnsi"/>
                <w:sz w:val="16"/>
                <w:szCs w:val="16"/>
              </w:rPr>
              <w:t xml:space="preserve">in principle </w:t>
            </w:r>
            <w:r w:rsidRPr="00314C12">
              <w:rPr>
                <w:rFonts w:ascii="Georgia" w:hAnsi="Georgia" w:cstheme="minorHAnsi"/>
                <w:sz w:val="16"/>
                <w:szCs w:val="16"/>
              </w:rPr>
              <w:t xml:space="preserve">to participate in collaborative engagements but </w:t>
            </w:r>
            <w:r w:rsidR="002A4573" w:rsidRPr="00314C12">
              <w:rPr>
                <w:rFonts w:ascii="Georgia" w:hAnsi="Georgia" w:cstheme="minorHAnsi"/>
                <w:sz w:val="16"/>
                <w:szCs w:val="16"/>
              </w:rPr>
              <w:t xml:space="preserve">rarely does </w:t>
            </w:r>
            <w:r w:rsidR="002A4573" w:rsidRPr="00314C12">
              <w:rPr>
                <w:rFonts w:ascii="Georgia" w:hAnsi="Georgia" w:cstheme="minorHAnsi"/>
                <w:sz w:val="16"/>
                <w:szCs w:val="16"/>
              </w:rPr>
              <w:lastRenderedPageBreak/>
              <w:t>so</w:t>
            </w:r>
            <w:r w:rsidRPr="00314C12">
              <w:rPr>
                <w:rFonts w:ascii="Georgia" w:hAnsi="Georgia" w:cstheme="minorHAnsi"/>
                <w:sz w:val="16"/>
                <w:szCs w:val="16"/>
              </w:rPr>
              <w:t>.</w:t>
            </w:r>
          </w:p>
        </w:tc>
        <w:tc>
          <w:tcPr>
            <w:tcW w:w="2126" w:type="dxa"/>
            <w:shd w:val="clear" w:color="auto" w:fill="auto"/>
          </w:tcPr>
          <w:p w:rsidR="007053C8" w:rsidRPr="00314C12" w:rsidRDefault="007053C8" w:rsidP="009A5B0F">
            <w:pPr>
              <w:rPr>
                <w:rFonts w:ascii="Georgia" w:hAnsi="Georgia" w:cstheme="minorHAnsi"/>
                <w:sz w:val="16"/>
                <w:szCs w:val="16"/>
              </w:rPr>
            </w:pPr>
            <w:r w:rsidRPr="00314C12">
              <w:rPr>
                <w:rFonts w:ascii="Georgia" w:hAnsi="Georgia" w:cstheme="minorHAnsi"/>
                <w:sz w:val="16"/>
                <w:szCs w:val="16"/>
              </w:rPr>
              <w:lastRenderedPageBreak/>
              <w:t xml:space="preserve">Does not act with other investment institutions. </w:t>
            </w:r>
          </w:p>
        </w:tc>
        <w:tc>
          <w:tcPr>
            <w:tcW w:w="1843" w:type="dxa"/>
          </w:tcPr>
          <w:p w:rsidR="007053C8" w:rsidRPr="007473E9" w:rsidRDefault="007053C8" w:rsidP="007473E9">
            <w:pPr>
              <w:jc w:val="both"/>
              <w:rPr>
                <w:sz w:val="16"/>
                <w:szCs w:val="16"/>
              </w:rPr>
            </w:pPr>
          </w:p>
        </w:tc>
      </w:tr>
      <w:tr w:rsidR="00E1674F" w:rsidTr="007473E9">
        <w:trPr>
          <w:trHeight w:val="705"/>
        </w:trPr>
        <w:tc>
          <w:tcPr>
            <w:tcW w:w="1526" w:type="dxa"/>
            <w:vMerge w:val="restart"/>
            <w:shd w:val="clear" w:color="auto" w:fill="B6DDE8" w:themeFill="accent5" w:themeFillTint="66"/>
            <w:vAlign w:val="center"/>
          </w:tcPr>
          <w:p w:rsidR="00E129C8" w:rsidRPr="00314C12" w:rsidRDefault="009A5B0F" w:rsidP="00295153">
            <w:pPr>
              <w:jc w:val="center"/>
              <w:rPr>
                <w:rFonts w:ascii="Gotham XNarrow Bold" w:hAnsi="Gotham XNarrow Bold"/>
                <w:i/>
                <w:sz w:val="20"/>
                <w:szCs w:val="20"/>
              </w:rPr>
            </w:pPr>
            <w:r w:rsidRPr="00314C12">
              <w:rPr>
                <w:rFonts w:ascii="Gotham XNarrow Bold" w:hAnsi="Gotham XNarrow Bold"/>
                <w:sz w:val="20"/>
                <w:szCs w:val="20"/>
              </w:rPr>
              <w:lastRenderedPageBreak/>
              <w:t>VOTING</w:t>
            </w:r>
          </w:p>
          <w:p w:rsidR="00E129C8" w:rsidRPr="00314C12" w:rsidRDefault="00E129C8" w:rsidP="00295153">
            <w:pPr>
              <w:jc w:val="center"/>
              <w:rPr>
                <w:rFonts w:ascii="Gotham XNarrow Bold" w:hAnsi="Gotham XNarrow Bold"/>
              </w:rPr>
            </w:pPr>
          </w:p>
        </w:tc>
        <w:tc>
          <w:tcPr>
            <w:tcW w:w="1559" w:type="dxa"/>
            <w:shd w:val="clear" w:color="auto" w:fill="B6DDE8" w:themeFill="accent5" w:themeFillTint="66"/>
            <w:vAlign w:val="center"/>
          </w:tcPr>
          <w:p w:rsidR="00E129C8" w:rsidRPr="00314C12" w:rsidRDefault="009A5B0F" w:rsidP="00295153">
            <w:pPr>
              <w:jc w:val="center"/>
              <w:rPr>
                <w:rFonts w:ascii="Gotham XNarrow Bold" w:hAnsi="Gotham XNarrow Bold"/>
                <w:sz w:val="20"/>
                <w:szCs w:val="20"/>
              </w:rPr>
            </w:pPr>
            <w:r w:rsidRPr="00314C12">
              <w:rPr>
                <w:rFonts w:ascii="Gotham XNarrow Bold" w:hAnsi="Gotham XNarrow Bold"/>
                <w:sz w:val="20"/>
                <w:szCs w:val="20"/>
              </w:rPr>
              <w:t>PORTFOLIO HOLDINGS</w:t>
            </w:r>
          </w:p>
        </w:tc>
        <w:tc>
          <w:tcPr>
            <w:tcW w:w="3402" w:type="dxa"/>
            <w:shd w:val="clear" w:color="auto" w:fill="auto"/>
          </w:tcPr>
          <w:p w:rsidR="00E129C8" w:rsidRPr="00314C12" w:rsidRDefault="00E129C8" w:rsidP="009A5B0F">
            <w:pPr>
              <w:rPr>
                <w:rFonts w:ascii="Georgia" w:hAnsi="Georgia" w:cstheme="minorHAnsi"/>
                <w:sz w:val="16"/>
                <w:szCs w:val="16"/>
              </w:rPr>
            </w:pPr>
            <w:r w:rsidRPr="00314C12">
              <w:rPr>
                <w:rFonts w:ascii="Georgia" w:hAnsi="Georgia" w:cstheme="minorHAnsi"/>
                <w:sz w:val="16"/>
                <w:szCs w:val="16"/>
              </w:rPr>
              <w:t xml:space="preserve">Votes </w:t>
            </w:r>
            <w:r w:rsidR="0039457F" w:rsidRPr="00314C12">
              <w:rPr>
                <w:rFonts w:ascii="Georgia" w:hAnsi="Georgia" w:cstheme="minorHAnsi"/>
                <w:sz w:val="16"/>
                <w:szCs w:val="16"/>
              </w:rPr>
              <w:t>100</w:t>
            </w:r>
            <w:r w:rsidRPr="00314C12">
              <w:rPr>
                <w:rFonts w:ascii="Georgia" w:hAnsi="Georgia" w:cstheme="minorHAnsi"/>
                <w:sz w:val="16"/>
                <w:szCs w:val="16"/>
              </w:rPr>
              <w:t xml:space="preserve">% of voting rights - where such rights remain with the investment manager </w:t>
            </w:r>
            <w:r w:rsidR="0039457F" w:rsidRPr="00314C12">
              <w:rPr>
                <w:rFonts w:ascii="Georgia" w:hAnsi="Georgia" w:cstheme="minorHAnsi"/>
                <w:sz w:val="16"/>
                <w:szCs w:val="16"/>
              </w:rPr>
              <w:t>- across</w:t>
            </w:r>
            <w:r w:rsidRPr="00314C12">
              <w:rPr>
                <w:rFonts w:ascii="Georgia" w:hAnsi="Georgia" w:cstheme="minorHAnsi"/>
                <w:sz w:val="16"/>
                <w:szCs w:val="16"/>
              </w:rPr>
              <w:t xml:space="preserve"> global portfolio holdings</w:t>
            </w:r>
            <w:r w:rsidR="0039457F" w:rsidRPr="00314C12">
              <w:rPr>
                <w:rFonts w:ascii="Georgia" w:hAnsi="Georgia" w:cstheme="minorHAnsi"/>
                <w:sz w:val="16"/>
                <w:szCs w:val="16"/>
              </w:rPr>
              <w:t>.</w:t>
            </w:r>
            <w:r w:rsidRPr="00314C12">
              <w:rPr>
                <w:rFonts w:ascii="Georgia" w:hAnsi="Georgia" w:cstheme="minorHAnsi"/>
                <w:sz w:val="16"/>
                <w:szCs w:val="16"/>
              </w:rPr>
              <w:t xml:space="preserve"> </w:t>
            </w:r>
          </w:p>
          <w:p w:rsidR="00E129C8" w:rsidRPr="00314C12" w:rsidRDefault="00E129C8" w:rsidP="009A5B0F">
            <w:pPr>
              <w:rPr>
                <w:rFonts w:ascii="Georgia" w:hAnsi="Georgia" w:cstheme="minorHAnsi"/>
                <w:sz w:val="16"/>
                <w:szCs w:val="16"/>
              </w:rPr>
            </w:pPr>
          </w:p>
        </w:tc>
        <w:tc>
          <w:tcPr>
            <w:tcW w:w="2835" w:type="dxa"/>
            <w:shd w:val="clear" w:color="auto" w:fill="auto"/>
          </w:tcPr>
          <w:p w:rsidR="00E129C8" w:rsidRPr="00314C12" w:rsidRDefault="00E129C8" w:rsidP="009A5B0F">
            <w:pPr>
              <w:rPr>
                <w:rFonts w:ascii="Georgia" w:hAnsi="Georgia" w:cstheme="minorHAnsi"/>
                <w:sz w:val="16"/>
                <w:szCs w:val="16"/>
              </w:rPr>
            </w:pPr>
            <w:r w:rsidRPr="00314C12">
              <w:rPr>
                <w:rFonts w:ascii="Georgia" w:hAnsi="Georgia" w:cstheme="minorHAnsi"/>
                <w:sz w:val="16"/>
                <w:szCs w:val="16"/>
              </w:rPr>
              <w:t xml:space="preserve">Votes </w:t>
            </w:r>
            <w:r w:rsidR="0039457F" w:rsidRPr="00314C12">
              <w:rPr>
                <w:rFonts w:ascii="Georgia" w:hAnsi="Georgia" w:cstheme="minorHAnsi"/>
                <w:sz w:val="16"/>
                <w:szCs w:val="16"/>
              </w:rPr>
              <w:t>9</w:t>
            </w:r>
            <w:r w:rsidRPr="00314C12">
              <w:rPr>
                <w:rFonts w:ascii="Georgia" w:hAnsi="Georgia" w:cstheme="minorHAnsi"/>
                <w:sz w:val="16"/>
                <w:szCs w:val="16"/>
              </w:rPr>
              <w:t xml:space="preserve">0%+ of voting rights - where such rights remain with the investment manager </w:t>
            </w:r>
            <w:r w:rsidR="0039457F" w:rsidRPr="00314C12">
              <w:rPr>
                <w:rFonts w:ascii="Georgia" w:hAnsi="Georgia" w:cstheme="minorHAnsi"/>
                <w:sz w:val="16"/>
                <w:szCs w:val="16"/>
              </w:rPr>
              <w:t>- across global portfolio holdings.</w:t>
            </w:r>
          </w:p>
        </w:tc>
        <w:tc>
          <w:tcPr>
            <w:tcW w:w="2410" w:type="dxa"/>
            <w:shd w:val="clear" w:color="auto" w:fill="auto"/>
          </w:tcPr>
          <w:p w:rsidR="00E129C8" w:rsidRPr="00314C12" w:rsidRDefault="00E129C8" w:rsidP="009A5B0F">
            <w:pPr>
              <w:rPr>
                <w:rFonts w:ascii="Georgia" w:hAnsi="Georgia" w:cstheme="minorHAnsi"/>
                <w:sz w:val="16"/>
                <w:szCs w:val="16"/>
              </w:rPr>
            </w:pPr>
            <w:r w:rsidRPr="00314C12">
              <w:rPr>
                <w:rFonts w:ascii="Georgia" w:hAnsi="Georgia" w:cstheme="minorHAnsi"/>
                <w:sz w:val="16"/>
                <w:szCs w:val="16"/>
              </w:rPr>
              <w:t xml:space="preserve">Votes </w:t>
            </w:r>
            <w:r w:rsidR="002A4573" w:rsidRPr="00314C12">
              <w:rPr>
                <w:rFonts w:ascii="Georgia" w:hAnsi="Georgia" w:cstheme="minorHAnsi"/>
                <w:sz w:val="16"/>
                <w:szCs w:val="16"/>
              </w:rPr>
              <w:t>6</w:t>
            </w:r>
            <w:r w:rsidRPr="00314C12">
              <w:rPr>
                <w:rFonts w:ascii="Georgia" w:hAnsi="Georgia" w:cstheme="minorHAnsi"/>
                <w:sz w:val="16"/>
                <w:szCs w:val="16"/>
              </w:rPr>
              <w:t xml:space="preserve">0%+ of voting rights - where </w:t>
            </w:r>
            <w:r w:rsidR="00E1674F" w:rsidRPr="00314C12">
              <w:rPr>
                <w:rFonts w:ascii="Georgia" w:hAnsi="Georgia" w:cstheme="minorHAnsi"/>
                <w:sz w:val="16"/>
                <w:szCs w:val="16"/>
              </w:rPr>
              <w:t>such</w:t>
            </w:r>
            <w:r w:rsidRPr="00314C12">
              <w:rPr>
                <w:rFonts w:ascii="Georgia" w:hAnsi="Georgia" w:cstheme="minorHAnsi"/>
                <w:sz w:val="16"/>
                <w:szCs w:val="16"/>
              </w:rPr>
              <w:t xml:space="preserve"> rights remain with the investment manager -  across global portfolio holdings </w:t>
            </w:r>
          </w:p>
        </w:tc>
        <w:tc>
          <w:tcPr>
            <w:tcW w:w="2126" w:type="dxa"/>
          </w:tcPr>
          <w:p w:rsidR="00E129C8" w:rsidRPr="00314C12" w:rsidRDefault="00E129C8" w:rsidP="009A5B0F">
            <w:pPr>
              <w:rPr>
                <w:rFonts w:ascii="Georgia" w:hAnsi="Georgia" w:cstheme="minorHAnsi"/>
                <w:sz w:val="16"/>
                <w:szCs w:val="16"/>
              </w:rPr>
            </w:pPr>
            <w:r w:rsidRPr="00314C12">
              <w:rPr>
                <w:rFonts w:ascii="Georgia" w:hAnsi="Georgia" w:cstheme="minorHAnsi"/>
                <w:sz w:val="16"/>
                <w:szCs w:val="16"/>
              </w:rPr>
              <w:t xml:space="preserve">Votes less than </w:t>
            </w:r>
            <w:r w:rsidR="002A4573" w:rsidRPr="00314C12">
              <w:rPr>
                <w:rFonts w:ascii="Georgia" w:hAnsi="Georgia" w:cstheme="minorHAnsi"/>
                <w:sz w:val="16"/>
                <w:szCs w:val="16"/>
              </w:rPr>
              <w:t>6</w:t>
            </w:r>
            <w:r w:rsidRPr="00314C12">
              <w:rPr>
                <w:rFonts w:ascii="Georgia" w:hAnsi="Georgia" w:cstheme="minorHAnsi"/>
                <w:sz w:val="16"/>
                <w:szCs w:val="16"/>
              </w:rPr>
              <w:t xml:space="preserve">0%+ of voting rights - where </w:t>
            </w:r>
            <w:r w:rsidR="00E1674F" w:rsidRPr="00314C12">
              <w:rPr>
                <w:rFonts w:ascii="Georgia" w:hAnsi="Georgia" w:cstheme="minorHAnsi"/>
                <w:sz w:val="16"/>
                <w:szCs w:val="16"/>
              </w:rPr>
              <w:t>such</w:t>
            </w:r>
            <w:r w:rsidRPr="00314C12">
              <w:rPr>
                <w:rFonts w:ascii="Georgia" w:hAnsi="Georgia" w:cstheme="minorHAnsi"/>
                <w:sz w:val="16"/>
                <w:szCs w:val="16"/>
              </w:rPr>
              <w:t xml:space="preserve"> rights remain with the investment manager - across global portfolio holdings.</w:t>
            </w:r>
          </w:p>
        </w:tc>
        <w:tc>
          <w:tcPr>
            <w:tcW w:w="1843" w:type="dxa"/>
            <w:vMerge w:val="restart"/>
          </w:tcPr>
          <w:p w:rsidR="00E129C8" w:rsidRPr="007473E9" w:rsidRDefault="00E129C8" w:rsidP="007473E9">
            <w:pPr>
              <w:jc w:val="both"/>
              <w:rPr>
                <w:sz w:val="16"/>
                <w:szCs w:val="16"/>
              </w:rPr>
            </w:pPr>
          </w:p>
          <w:p w:rsidR="00E129C8" w:rsidRPr="007473E9" w:rsidRDefault="00E129C8" w:rsidP="007473E9">
            <w:pPr>
              <w:jc w:val="both"/>
              <w:rPr>
                <w:sz w:val="16"/>
                <w:szCs w:val="16"/>
              </w:rPr>
            </w:pPr>
          </w:p>
          <w:p w:rsidR="00E129C8" w:rsidRPr="007473E9" w:rsidRDefault="00E129C8" w:rsidP="007473E9">
            <w:pPr>
              <w:jc w:val="both"/>
              <w:rPr>
                <w:sz w:val="16"/>
                <w:szCs w:val="16"/>
              </w:rPr>
            </w:pPr>
          </w:p>
          <w:p w:rsidR="00E129C8" w:rsidRPr="007473E9" w:rsidRDefault="00E129C8" w:rsidP="007473E9">
            <w:pPr>
              <w:jc w:val="both"/>
              <w:rPr>
                <w:sz w:val="16"/>
                <w:szCs w:val="16"/>
              </w:rPr>
            </w:pPr>
          </w:p>
        </w:tc>
      </w:tr>
      <w:tr w:rsidR="007473E9" w:rsidTr="007473E9">
        <w:trPr>
          <w:trHeight w:val="123"/>
        </w:trPr>
        <w:tc>
          <w:tcPr>
            <w:tcW w:w="1526" w:type="dxa"/>
            <w:vMerge/>
            <w:shd w:val="clear" w:color="auto" w:fill="B6DDE8" w:themeFill="accent5" w:themeFillTint="66"/>
            <w:vAlign w:val="center"/>
          </w:tcPr>
          <w:p w:rsidR="00E1674F" w:rsidRPr="00314C12" w:rsidRDefault="00E1674F" w:rsidP="00295153">
            <w:pPr>
              <w:jc w:val="center"/>
              <w:rPr>
                <w:rFonts w:ascii="Gotham XNarrow Bold" w:hAnsi="Gotham XNarrow Bold"/>
              </w:rPr>
            </w:pPr>
          </w:p>
        </w:tc>
        <w:tc>
          <w:tcPr>
            <w:tcW w:w="1559" w:type="dxa"/>
            <w:shd w:val="clear" w:color="auto" w:fill="B6DDE8" w:themeFill="accent5" w:themeFillTint="66"/>
            <w:vAlign w:val="center"/>
          </w:tcPr>
          <w:p w:rsidR="00E1674F" w:rsidRPr="00314C12" w:rsidRDefault="009A5B0F" w:rsidP="007B2C2B">
            <w:pPr>
              <w:jc w:val="center"/>
              <w:rPr>
                <w:rFonts w:ascii="Gotham XNarrow Bold" w:hAnsi="Gotham XNarrow Bold"/>
                <w:sz w:val="20"/>
                <w:szCs w:val="20"/>
              </w:rPr>
            </w:pPr>
            <w:r w:rsidRPr="00314C12">
              <w:rPr>
                <w:rFonts w:ascii="Gotham XNarrow Bold" w:hAnsi="Gotham XNarrow Bold"/>
                <w:sz w:val="20"/>
                <w:szCs w:val="20"/>
              </w:rPr>
              <w:t>PROXY INPUT</w:t>
            </w:r>
          </w:p>
        </w:tc>
        <w:tc>
          <w:tcPr>
            <w:tcW w:w="3402" w:type="dxa"/>
            <w:shd w:val="clear" w:color="auto" w:fill="auto"/>
          </w:tcPr>
          <w:p w:rsidR="00E1674F" w:rsidRPr="00314C12" w:rsidRDefault="00E1674F" w:rsidP="009A5B0F">
            <w:pPr>
              <w:rPr>
                <w:rFonts w:ascii="Georgia" w:hAnsi="Georgia" w:cstheme="minorHAnsi"/>
                <w:sz w:val="16"/>
                <w:szCs w:val="16"/>
              </w:rPr>
            </w:pPr>
            <w:r w:rsidRPr="00314C12">
              <w:rPr>
                <w:rFonts w:ascii="Georgia" w:hAnsi="Georgia" w:cstheme="minorHAnsi"/>
                <w:sz w:val="16"/>
                <w:szCs w:val="16"/>
              </w:rPr>
              <w:t xml:space="preserve">Demonstrably casts all (100%) votes in a considered basis with active fund manager input. No votes are cast automatically. </w:t>
            </w:r>
          </w:p>
        </w:tc>
        <w:tc>
          <w:tcPr>
            <w:tcW w:w="2835" w:type="dxa"/>
            <w:shd w:val="clear" w:color="auto" w:fill="auto"/>
          </w:tcPr>
          <w:p w:rsidR="00E1674F" w:rsidRPr="00314C12" w:rsidRDefault="00AC5909" w:rsidP="009A5B0F">
            <w:pPr>
              <w:rPr>
                <w:rFonts w:ascii="Georgia" w:hAnsi="Georgia" w:cstheme="minorHAnsi"/>
                <w:sz w:val="16"/>
                <w:szCs w:val="16"/>
              </w:rPr>
            </w:pPr>
            <w:r w:rsidRPr="00314C12">
              <w:rPr>
                <w:rFonts w:ascii="Georgia" w:hAnsi="Georgia" w:cstheme="minorHAnsi"/>
                <w:sz w:val="16"/>
                <w:szCs w:val="16"/>
              </w:rPr>
              <w:t>U</w:t>
            </w:r>
            <w:r w:rsidR="00E1674F" w:rsidRPr="00314C12">
              <w:rPr>
                <w:rFonts w:ascii="Georgia" w:hAnsi="Georgia" w:cstheme="minorHAnsi"/>
                <w:sz w:val="16"/>
                <w:szCs w:val="16"/>
              </w:rPr>
              <w:t>p to 25% of votes a</w:t>
            </w:r>
            <w:r w:rsidRPr="00314C12">
              <w:rPr>
                <w:rFonts w:ascii="Georgia" w:hAnsi="Georgia" w:cstheme="minorHAnsi"/>
                <w:sz w:val="16"/>
                <w:szCs w:val="16"/>
              </w:rPr>
              <w:t>re cast in an automated fashion</w:t>
            </w:r>
            <w:r w:rsidR="002A4573" w:rsidRPr="00314C12">
              <w:rPr>
                <w:rFonts w:ascii="Georgia" w:hAnsi="Georgia" w:cstheme="minorHAnsi"/>
                <w:sz w:val="16"/>
                <w:szCs w:val="16"/>
              </w:rPr>
              <w:t xml:space="preserve"> </w:t>
            </w:r>
            <w:r w:rsidR="0039457F" w:rsidRPr="00314C12">
              <w:rPr>
                <w:rFonts w:ascii="Georgia" w:hAnsi="Georgia" w:cstheme="minorHAnsi"/>
                <w:sz w:val="16"/>
                <w:szCs w:val="16"/>
              </w:rPr>
              <w:t xml:space="preserve">(e.g. </w:t>
            </w:r>
            <w:r w:rsidR="002A4573" w:rsidRPr="00314C12">
              <w:rPr>
                <w:rFonts w:ascii="Georgia" w:hAnsi="Georgia" w:cstheme="minorHAnsi"/>
                <w:sz w:val="16"/>
                <w:szCs w:val="16"/>
              </w:rPr>
              <w:t xml:space="preserve">in accordance with a </w:t>
            </w:r>
            <w:r w:rsidR="0039457F" w:rsidRPr="00314C12">
              <w:rPr>
                <w:rFonts w:ascii="Georgia" w:hAnsi="Georgia" w:cstheme="minorHAnsi"/>
                <w:sz w:val="16"/>
                <w:szCs w:val="16"/>
              </w:rPr>
              <w:t>custom voting template).</w:t>
            </w:r>
          </w:p>
        </w:tc>
        <w:tc>
          <w:tcPr>
            <w:tcW w:w="2410" w:type="dxa"/>
            <w:shd w:val="clear" w:color="auto" w:fill="auto"/>
          </w:tcPr>
          <w:p w:rsidR="00E1674F" w:rsidRPr="00314C12" w:rsidRDefault="00AC5909" w:rsidP="009A5B0F">
            <w:pPr>
              <w:rPr>
                <w:rFonts w:ascii="Georgia" w:hAnsi="Georgia" w:cstheme="minorHAnsi"/>
                <w:sz w:val="16"/>
                <w:szCs w:val="16"/>
              </w:rPr>
            </w:pPr>
            <w:r w:rsidRPr="00314C12">
              <w:rPr>
                <w:rFonts w:ascii="Georgia" w:hAnsi="Georgia" w:cstheme="minorHAnsi"/>
                <w:sz w:val="16"/>
                <w:szCs w:val="16"/>
              </w:rPr>
              <w:t>U</w:t>
            </w:r>
            <w:r w:rsidR="00E1674F" w:rsidRPr="00314C12">
              <w:rPr>
                <w:rFonts w:ascii="Georgia" w:hAnsi="Georgia" w:cstheme="minorHAnsi"/>
                <w:sz w:val="16"/>
                <w:szCs w:val="16"/>
              </w:rPr>
              <w:t>p to 50% of votes a</w:t>
            </w:r>
            <w:r w:rsidRPr="00314C12">
              <w:rPr>
                <w:rFonts w:ascii="Georgia" w:hAnsi="Georgia" w:cstheme="minorHAnsi"/>
                <w:sz w:val="16"/>
                <w:szCs w:val="16"/>
              </w:rPr>
              <w:t>re cast in an automated fashion</w:t>
            </w:r>
            <w:r w:rsidR="002A4573" w:rsidRPr="00314C12">
              <w:rPr>
                <w:rFonts w:ascii="Georgia" w:hAnsi="Georgia" w:cstheme="minorHAnsi"/>
                <w:sz w:val="16"/>
                <w:szCs w:val="16"/>
              </w:rPr>
              <w:t xml:space="preserve"> </w:t>
            </w:r>
            <w:r w:rsidR="0039457F" w:rsidRPr="00314C12">
              <w:rPr>
                <w:rFonts w:ascii="Georgia" w:hAnsi="Georgia" w:cstheme="minorHAnsi"/>
                <w:sz w:val="16"/>
                <w:szCs w:val="16"/>
              </w:rPr>
              <w:t xml:space="preserve">(e.g. </w:t>
            </w:r>
            <w:r w:rsidR="002A4573" w:rsidRPr="00314C12">
              <w:rPr>
                <w:rFonts w:ascii="Georgia" w:hAnsi="Georgia" w:cstheme="minorHAnsi"/>
                <w:sz w:val="16"/>
                <w:szCs w:val="16"/>
              </w:rPr>
              <w:t>in accordanc</w:t>
            </w:r>
            <w:r w:rsidR="0039457F" w:rsidRPr="00314C12">
              <w:rPr>
                <w:rFonts w:ascii="Georgia" w:hAnsi="Georgia" w:cstheme="minorHAnsi"/>
                <w:sz w:val="16"/>
                <w:szCs w:val="16"/>
              </w:rPr>
              <w:t>e with a custom voting template).</w:t>
            </w:r>
          </w:p>
        </w:tc>
        <w:tc>
          <w:tcPr>
            <w:tcW w:w="2126" w:type="dxa"/>
            <w:shd w:val="clear" w:color="auto" w:fill="auto"/>
          </w:tcPr>
          <w:p w:rsidR="00E1674F" w:rsidRPr="00314C12" w:rsidRDefault="00AC5909" w:rsidP="009A5B0F">
            <w:pPr>
              <w:rPr>
                <w:rFonts w:ascii="Georgia" w:hAnsi="Georgia" w:cstheme="minorHAnsi"/>
                <w:sz w:val="16"/>
                <w:szCs w:val="16"/>
              </w:rPr>
            </w:pPr>
            <w:r w:rsidRPr="00314C12">
              <w:rPr>
                <w:rFonts w:ascii="Georgia" w:hAnsi="Georgia" w:cstheme="minorHAnsi"/>
                <w:sz w:val="16"/>
                <w:szCs w:val="16"/>
              </w:rPr>
              <w:t>More than 50% of votes are cast in an automated fashion</w:t>
            </w:r>
            <w:r w:rsidR="0039457F" w:rsidRPr="00314C12">
              <w:rPr>
                <w:rFonts w:ascii="Georgia" w:hAnsi="Georgia" w:cstheme="minorHAnsi"/>
                <w:sz w:val="16"/>
                <w:szCs w:val="16"/>
              </w:rPr>
              <w:t xml:space="preserve"> (e.g. in accordance with a custom voting template).</w:t>
            </w:r>
            <w:r w:rsidRPr="00314C12">
              <w:rPr>
                <w:rFonts w:ascii="Georgia" w:hAnsi="Georgia" w:cstheme="minorHAnsi"/>
                <w:sz w:val="16"/>
                <w:szCs w:val="16"/>
              </w:rPr>
              <w:t xml:space="preserve"> </w:t>
            </w:r>
          </w:p>
        </w:tc>
        <w:tc>
          <w:tcPr>
            <w:tcW w:w="1843" w:type="dxa"/>
            <w:vMerge/>
          </w:tcPr>
          <w:p w:rsidR="00E1674F" w:rsidRPr="007473E9" w:rsidRDefault="00E1674F" w:rsidP="007473E9">
            <w:pPr>
              <w:jc w:val="both"/>
              <w:rPr>
                <w:sz w:val="16"/>
                <w:szCs w:val="16"/>
              </w:rPr>
            </w:pPr>
          </w:p>
        </w:tc>
      </w:tr>
      <w:tr w:rsidR="00E1674F" w:rsidTr="007473E9">
        <w:trPr>
          <w:trHeight w:val="123"/>
        </w:trPr>
        <w:tc>
          <w:tcPr>
            <w:tcW w:w="1526" w:type="dxa"/>
            <w:vMerge/>
            <w:shd w:val="clear" w:color="auto" w:fill="B6DDE8" w:themeFill="accent5" w:themeFillTint="66"/>
            <w:vAlign w:val="center"/>
          </w:tcPr>
          <w:p w:rsidR="000C1A85" w:rsidRPr="00314C12" w:rsidRDefault="000C1A85" w:rsidP="00295153">
            <w:pPr>
              <w:jc w:val="center"/>
              <w:rPr>
                <w:rFonts w:ascii="Gotham XNarrow Bold" w:hAnsi="Gotham XNarrow Bold"/>
              </w:rPr>
            </w:pPr>
          </w:p>
        </w:tc>
        <w:tc>
          <w:tcPr>
            <w:tcW w:w="1559" w:type="dxa"/>
            <w:shd w:val="clear" w:color="auto" w:fill="B6DDE8" w:themeFill="accent5" w:themeFillTint="66"/>
            <w:vAlign w:val="center"/>
          </w:tcPr>
          <w:p w:rsidR="000C1A85" w:rsidRPr="00314C12" w:rsidRDefault="009A5B0F" w:rsidP="007B2C2B">
            <w:pPr>
              <w:jc w:val="center"/>
              <w:rPr>
                <w:rFonts w:ascii="Gotham XNarrow Bold" w:hAnsi="Gotham XNarrow Bold"/>
                <w:sz w:val="20"/>
                <w:szCs w:val="20"/>
              </w:rPr>
            </w:pPr>
            <w:r w:rsidRPr="00314C12">
              <w:rPr>
                <w:rFonts w:ascii="Gotham XNarrow Bold" w:hAnsi="Gotham XNarrow Bold"/>
                <w:sz w:val="20"/>
                <w:szCs w:val="20"/>
              </w:rPr>
              <w:t>CLIENT INPUT</w:t>
            </w:r>
          </w:p>
        </w:tc>
        <w:tc>
          <w:tcPr>
            <w:tcW w:w="3402" w:type="dxa"/>
            <w:shd w:val="clear" w:color="auto" w:fill="auto"/>
          </w:tcPr>
          <w:p w:rsidR="000C1A85" w:rsidRPr="00314C12" w:rsidRDefault="000C1A85" w:rsidP="009A5B0F">
            <w:pPr>
              <w:rPr>
                <w:rFonts w:ascii="Georgia" w:hAnsi="Georgia" w:cstheme="minorHAnsi"/>
                <w:sz w:val="16"/>
                <w:szCs w:val="16"/>
              </w:rPr>
            </w:pPr>
            <w:r w:rsidRPr="00314C12">
              <w:rPr>
                <w:rFonts w:ascii="Georgia" w:hAnsi="Georgia" w:cstheme="minorHAnsi"/>
                <w:sz w:val="16"/>
                <w:szCs w:val="16"/>
              </w:rPr>
              <w:t>There is scope for client</w:t>
            </w:r>
            <w:r w:rsidR="00E1674F" w:rsidRPr="00314C12">
              <w:rPr>
                <w:rFonts w:ascii="Georgia" w:hAnsi="Georgia" w:cstheme="minorHAnsi"/>
                <w:sz w:val="16"/>
                <w:szCs w:val="16"/>
              </w:rPr>
              <w:t>s to direct</w:t>
            </w:r>
            <w:r w:rsidRPr="00314C12">
              <w:rPr>
                <w:rFonts w:ascii="Georgia" w:hAnsi="Georgia" w:cstheme="minorHAnsi"/>
                <w:sz w:val="16"/>
                <w:szCs w:val="16"/>
              </w:rPr>
              <w:t xml:space="preserve"> vote</w:t>
            </w:r>
            <w:r w:rsidR="00E1674F" w:rsidRPr="00314C12">
              <w:rPr>
                <w:rFonts w:ascii="Georgia" w:hAnsi="Georgia" w:cstheme="minorHAnsi"/>
                <w:sz w:val="16"/>
                <w:szCs w:val="16"/>
              </w:rPr>
              <w:t>s</w:t>
            </w:r>
            <w:r w:rsidRPr="00314C12">
              <w:rPr>
                <w:rFonts w:ascii="Georgia" w:hAnsi="Georgia" w:cstheme="minorHAnsi"/>
                <w:sz w:val="16"/>
                <w:szCs w:val="16"/>
              </w:rPr>
              <w:t xml:space="preserve"> </w:t>
            </w:r>
            <w:r w:rsidR="000F5A41" w:rsidRPr="00314C12">
              <w:rPr>
                <w:rFonts w:ascii="Georgia" w:hAnsi="Georgia" w:cstheme="minorHAnsi"/>
                <w:sz w:val="16"/>
                <w:szCs w:val="16"/>
              </w:rPr>
              <w:t xml:space="preserve">in segregated </w:t>
            </w:r>
            <w:r w:rsidR="002A4573" w:rsidRPr="00314C12">
              <w:rPr>
                <w:rFonts w:ascii="Georgia" w:hAnsi="Georgia" w:cstheme="minorHAnsi"/>
                <w:sz w:val="16"/>
                <w:szCs w:val="16"/>
              </w:rPr>
              <w:t>and</w:t>
            </w:r>
            <w:r w:rsidR="000F5A41" w:rsidRPr="00314C12">
              <w:rPr>
                <w:rFonts w:ascii="Georgia" w:hAnsi="Georgia" w:cstheme="minorHAnsi"/>
                <w:sz w:val="16"/>
                <w:szCs w:val="16"/>
              </w:rPr>
              <w:t xml:space="preserve"> pooled accounts. </w:t>
            </w:r>
          </w:p>
        </w:tc>
        <w:tc>
          <w:tcPr>
            <w:tcW w:w="2835" w:type="dxa"/>
            <w:shd w:val="clear" w:color="auto" w:fill="auto"/>
          </w:tcPr>
          <w:p w:rsidR="000C1A85" w:rsidRPr="00314C12" w:rsidRDefault="000C1A85" w:rsidP="009A5B0F">
            <w:pPr>
              <w:rPr>
                <w:rFonts w:ascii="Georgia" w:hAnsi="Georgia" w:cstheme="minorHAnsi"/>
                <w:sz w:val="16"/>
                <w:szCs w:val="16"/>
              </w:rPr>
            </w:pPr>
            <w:r w:rsidRPr="00314C12">
              <w:rPr>
                <w:rFonts w:ascii="Georgia" w:hAnsi="Georgia" w:cstheme="minorHAnsi"/>
                <w:sz w:val="16"/>
                <w:szCs w:val="16"/>
              </w:rPr>
              <w:t>Client</w:t>
            </w:r>
            <w:r w:rsidR="00E1674F" w:rsidRPr="00314C12">
              <w:rPr>
                <w:rFonts w:ascii="Georgia" w:hAnsi="Georgia" w:cstheme="minorHAnsi"/>
                <w:sz w:val="16"/>
                <w:szCs w:val="16"/>
              </w:rPr>
              <w:t>s</w:t>
            </w:r>
            <w:r w:rsidRPr="00314C12">
              <w:rPr>
                <w:rFonts w:ascii="Georgia" w:hAnsi="Georgia" w:cstheme="minorHAnsi"/>
                <w:sz w:val="16"/>
                <w:szCs w:val="16"/>
              </w:rPr>
              <w:t xml:space="preserve"> may </w:t>
            </w:r>
            <w:r w:rsidR="000F5A41" w:rsidRPr="00314C12">
              <w:rPr>
                <w:rFonts w:ascii="Georgia" w:hAnsi="Georgia" w:cstheme="minorHAnsi"/>
                <w:sz w:val="16"/>
                <w:szCs w:val="16"/>
              </w:rPr>
              <w:t>direct voting in segregated account</w:t>
            </w:r>
            <w:r w:rsidR="002A4573" w:rsidRPr="00314C12">
              <w:rPr>
                <w:rFonts w:ascii="Georgia" w:hAnsi="Georgia" w:cstheme="minorHAnsi"/>
                <w:sz w:val="16"/>
                <w:szCs w:val="16"/>
              </w:rPr>
              <w:t>s</w:t>
            </w:r>
            <w:r w:rsidR="000F5A41" w:rsidRPr="00314C12">
              <w:rPr>
                <w:rFonts w:ascii="Georgia" w:hAnsi="Georgia" w:cstheme="minorHAnsi"/>
                <w:sz w:val="16"/>
                <w:szCs w:val="16"/>
              </w:rPr>
              <w:t xml:space="preserve"> or </w:t>
            </w:r>
            <w:r w:rsidRPr="00314C12">
              <w:rPr>
                <w:rFonts w:ascii="Georgia" w:hAnsi="Georgia" w:cstheme="minorHAnsi"/>
                <w:sz w:val="16"/>
                <w:szCs w:val="16"/>
              </w:rPr>
              <w:t>elect for external party to advise and implement voting policy.</w:t>
            </w:r>
          </w:p>
        </w:tc>
        <w:tc>
          <w:tcPr>
            <w:tcW w:w="2410" w:type="dxa"/>
            <w:shd w:val="clear" w:color="auto" w:fill="auto"/>
          </w:tcPr>
          <w:p w:rsidR="000C1A85" w:rsidRPr="00314C12" w:rsidRDefault="000C1A85" w:rsidP="009A5B0F">
            <w:pPr>
              <w:rPr>
                <w:rFonts w:ascii="Georgia" w:hAnsi="Georgia" w:cstheme="minorHAnsi"/>
                <w:sz w:val="16"/>
                <w:szCs w:val="16"/>
              </w:rPr>
            </w:pPr>
            <w:r w:rsidRPr="00314C12">
              <w:rPr>
                <w:rFonts w:ascii="Georgia" w:hAnsi="Georgia" w:cstheme="minorHAnsi"/>
                <w:sz w:val="16"/>
                <w:szCs w:val="16"/>
              </w:rPr>
              <w:t xml:space="preserve">There is scope </w:t>
            </w:r>
            <w:r w:rsidR="002A4573" w:rsidRPr="00314C12">
              <w:rPr>
                <w:rFonts w:ascii="Georgia" w:hAnsi="Georgia" w:cstheme="minorHAnsi"/>
                <w:sz w:val="16"/>
                <w:szCs w:val="16"/>
              </w:rPr>
              <w:t xml:space="preserve">and opportunity </w:t>
            </w:r>
            <w:r w:rsidRPr="00314C12">
              <w:rPr>
                <w:rFonts w:ascii="Georgia" w:hAnsi="Georgia" w:cstheme="minorHAnsi"/>
                <w:sz w:val="16"/>
                <w:szCs w:val="16"/>
              </w:rPr>
              <w:t>for client input into voting policy but not vote decision.</w:t>
            </w:r>
          </w:p>
        </w:tc>
        <w:tc>
          <w:tcPr>
            <w:tcW w:w="2126" w:type="dxa"/>
            <w:shd w:val="clear" w:color="auto" w:fill="auto"/>
          </w:tcPr>
          <w:p w:rsidR="000C1A85" w:rsidRPr="00314C12" w:rsidRDefault="000C1A85" w:rsidP="009A5B0F">
            <w:pPr>
              <w:rPr>
                <w:rFonts w:ascii="Georgia" w:hAnsi="Georgia" w:cstheme="minorHAnsi"/>
                <w:sz w:val="16"/>
                <w:szCs w:val="16"/>
              </w:rPr>
            </w:pPr>
            <w:r w:rsidRPr="00314C12">
              <w:rPr>
                <w:rFonts w:ascii="Georgia" w:hAnsi="Georgia" w:cstheme="minorHAnsi"/>
                <w:sz w:val="16"/>
                <w:szCs w:val="16"/>
              </w:rPr>
              <w:t xml:space="preserve">There is no scope for client input </w:t>
            </w:r>
            <w:r w:rsidR="00E1674F" w:rsidRPr="00314C12">
              <w:rPr>
                <w:rFonts w:ascii="Georgia" w:hAnsi="Georgia" w:cstheme="minorHAnsi"/>
                <w:sz w:val="16"/>
                <w:szCs w:val="16"/>
              </w:rPr>
              <w:t>into</w:t>
            </w:r>
            <w:r w:rsidRPr="00314C12">
              <w:rPr>
                <w:rFonts w:ascii="Georgia" w:hAnsi="Georgia" w:cstheme="minorHAnsi"/>
                <w:sz w:val="16"/>
                <w:szCs w:val="16"/>
              </w:rPr>
              <w:t xml:space="preserve"> vote decision</w:t>
            </w:r>
            <w:r w:rsidR="002A4573" w:rsidRPr="00314C12">
              <w:rPr>
                <w:rFonts w:ascii="Georgia" w:hAnsi="Georgia" w:cstheme="minorHAnsi"/>
                <w:sz w:val="16"/>
                <w:szCs w:val="16"/>
              </w:rPr>
              <w:t>s</w:t>
            </w:r>
            <w:r w:rsidRPr="00314C12">
              <w:rPr>
                <w:rFonts w:ascii="Georgia" w:hAnsi="Georgia" w:cstheme="minorHAnsi"/>
                <w:sz w:val="16"/>
                <w:szCs w:val="16"/>
              </w:rPr>
              <w:t xml:space="preserve"> or </w:t>
            </w:r>
            <w:r w:rsidR="00E1674F" w:rsidRPr="00314C12">
              <w:rPr>
                <w:rFonts w:ascii="Georgia" w:hAnsi="Georgia" w:cstheme="minorHAnsi"/>
                <w:sz w:val="16"/>
                <w:szCs w:val="16"/>
              </w:rPr>
              <w:t xml:space="preserve">voting </w:t>
            </w:r>
            <w:r w:rsidRPr="00314C12">
              <w:rPr>
                <w:rFonts w:ascii="Georgia" w:hAnsi="Georgia" w:cstheme="minorHAnsi"/>
                <w:sz w:val="16"/>
                <w:szCs w:val="16"/>
              </w:rPr>
              <w:t>policy.</w:t>
            </w:r>
          </w:p>
        </w:tc>
        <w:tc>
          <w:tcPr>
            <w:tcW w:w="1843" w:type="dxa"/>
            <w:vMerge/>
          </w:tcPr>
          <w:p w:rsidR="000C1A85" w:rsidRPr="007473E9" w:rsidRDefault="000C1A85" w:rsidP="007473E9">
            <w:pPr>
              <w:jc w:val="both"/>
              <w:rPr>
                <w:sz w:val="16"/>
                <w:szCs w:val="16"/>
              </w:rPr>
            </w:pPr>
          </w:p>
        </w:tc>
      </w:tr>
      <w:tr w:rsidR="00E1674F" w:rsidTr="007473E9">
        <w:trPr>
          <w:trHeight w:val="123"/>
        </w:trPr>
        <w:tc>
          <w:tcPr>
            <w:tcW w:w="1526" w:type="dxa"/>
            <w:vMerge/>
            <w:shd w:val="clear" w:color="auto" w:fill="B6DDE8" w:themeFill="accent5" w:themeFillTint="66"/>
            <w:vAlign w:val="center"/>
          </w:tcPr>
          <w:p w:rsidR="000C1A85" w:rsidRPr="00314C12" w:rsidRDefault="000C1A85" w:rsidP="007B2C2B">
            <w:pPr>
              <w:jc w:val="center"/>
              <w:rPr>
                <w:rFonts w:ascii="Gotham XNarrow Bold" w:hAnsi="Gotham XNarrow Bold"/>
              </w:rPr>
            </w:pPr>
          </w:p>
        </w:tc>
        <w:tc>
          <w:tcPr>
            <w:tcW w:w="1559" w:type="dxa"/>
            <w:shd w:val="clear" w:color="auto" w:fill="B6DDE8" w:themeFill="accent5" w:themeFillTint="66"/>
            <w:vAlign w:val="center"/>
          </w:tcPr>
          <w:p w:rsidR="000C1A85" w:rsidRPr="00314C12" w:rsidRDefault="009A5B0F" w:rsidP="007B2C2B">
            <w:pPr>
              <w:jc w:val="center"/>
              <w:rPr>
                <w:rFonts w:ascii="Gotham XNarrow Bold" w:hAnsi="Gotham XNarrow Bold"/>
                <w:sz w:val="20"/>
                <w:szCs w:val="20"/>
              </w:rPr>
            </w:pPr>
            <w:r w:rsidRPr="00314C12">
              <w:rPr>
                <w:rFonts w:ascii="Gotham XNarrow Bold" w:hAnsi="Gotham XNarrow Bold"/>
                <w:sz w:val="20"/>
                <w:szCs w:val="20"/>
              </w:rPr>
              <w:t>STOCK LENDING</w:t>
            </w:r>
          </w:p>
        </w:tc>
        <w:tc>
          <w:tcPr>
            <w:tcW w:w="3402" w:type="dxa"/>
            <w:shd w:val="clear" w:color="auto" w:fill="auto"/>
          </w:tcPr>
          <w:p w:rsidR="000C1A85" w:rsidRPr="00314C12" w:rsidRDefault="000C1A85" w:rsidP="009A5B0F">
            <w:pPr>
              <w:rPr>
                <w:rFonts w:ascii="Georgia" w:hAnsi="Georgia" w:cstheme="minorHAnsi"/>
                <w:sz w:val="16"/>
                <w:szCs w:val="16"/>
              </w:rPr>
            </w:pPr>
            <w:r w:rsidRPr="00314C12">
              <w:rPr>
                <w:rFonts w:ascii="Georgia" w:hAnsi="Georgia" w:cstheme="minorHAnsi"/>
                <w:sz w:val="16"/>
                <w:szCs w:val="16"/>
              </w:rPr>
              <w:t>There is a policy on stock lending and stock is recalled for all votes</w:t>
            </w:r>
            <w:r w:rsidR="007057B2" w:rsidRPr="00314C12">
              <w:rPr>
                <w:rFonts w:ascii="Georgia" w:hAnsi="Georgia" w:cstheme="minorHAnsi"/>
                <w:sz w:val="16"/>
                <w:szCs w:val="16"/>
              </w:rPr>
              <w:t xml:space="preserve"> (or </w:t>
            </w:r>
            <w:r w:rsidR="002A4573" w:rsidRPr="00314C12">
              <w:rPr>
                <w:rFonts w:ascii="Georgia" w:hAnsi="Georgia" w:cstheme="minorHAnsi"/>
                <w:sz w:val="16"/>
                <w:szCs w:val="16"/>
              </w:rPr>
              <w:t xml:space="preserve">stock is </w:t>
            </w:r>
            <w:r w:rsidR="007057B2" w:rsidRPr="00314C12">
              <w:rPr>
                <w:rFonts w:ascii="Georgia" w:hAnsi="Georgia" w:cstheme="minorHAnsi"/>
                <w:sz w:val="16"/>
                <w:szCs w:val="16"/>
              </w:rPr>
              <w:t>not lent)</w:t>
            </w:r>
            <w:r w:rsidRPr="00314C12">
              <w:rPr>
                <w:rFonts w:ascii="Georgia" w:hAnsi="Georgia" w:cstheme="minorHAnsi"/>
                <w:sz w:val="16"/>
                <w:szCs w:val="16"/>
              </w:rPr>
              <w:t xml:space="preserve">.  </w:t>
            </w:r>
          </w:p>
        </w:tc>
        <w:tc>
          <w:tcPr>
            <w:tcW w:w="2835" w:type="dxa"/>
            <w:shd w:val="clear" w:color="auto" w:fill="auto"/>
          </w:tcPr>
          <w:p w:rsidR="000C1A85" w:rsidRPr="00314C12" w:rsidRDefault="000C1A85" w:rsidP="009A5B0F">
            <w:pPr>
              <w:rPr>
                <w:rFonts w:ascii="Georgia" w:hAnsi="Georgia" w:cstheme="minorHAnsi"/>
                <w:sz w:val="16"/>
                <w:szCs w:val="16"/>
              </w:rPr>
            </w:pPr>
            <w:r w:rsidRPr="00314C12">
              <w:rPr>
                <w:rFonts w:ascii="Georgia" w:hAnsi="Georgia" w:cstheme="minorHAnsi"/>
                <w:sz w:val="16"/>
                <w:szCs w:val="16"/>
              </w:rPr>
              <w:t xml:space="preserve">There is a policy on stock lending and stock is recalled for all key votes.  </w:t>
            </w:r>
          </w:p>
        </w:tc>
        <w:tc>
          <w:tcPr>
            <w:tcW w:w="2410" w:type="dxa"/>
            <w:shd w:val="clear" w:color="auto" w:fill="auto"/>
          </w:tcPr>
          <w:p w:rsidR="000C1A85" w:rsidRPr="00314C12" w:rsidRDefault="000C1A85" w:rsidP="009A5B0F">
            <w:pPr>
              <w:rPr>
                <w:rFonts w:ascii="Georgia" w:hAnsi="Georgia" w:cstheme="minorHAnsi"/>
                <w:sz w:val="16"/>
                <w:szCs w:val="16"/>
              </w:rPr>
            </w:pPr>
            <w:r w:rsidRPr="00314C12">
              <w:rPr>
                <w:rFonts w:ascii="Georgia" w:hAnsi="Georgia" w:cstheme="minorHAnsi"/>
                <w:sz w:val="16"/>
                <w:szCs w:val="16"/>
              </w:rPr>
              <w:t xml:space="preserve">There is a policy on stock lending and stock is able to be recalled.  </w:t>
            </w:r>
          </w:p>
        </w:tc>
        <w:tc>
          <w:tcPr>
            <w:tcW w:w="2126" w:type="dxa"/>
            <w:shd w:val="clear" w:color="auto" w:fill="auto"/>
          </w:tcPr>
          <w:p w:rsidR="000C1A85" w:rsidRPr="00314C12" w:rsidRDefault="000C1A85" w:rsidP="009A5B0F">
            <w:pPr>
              <w:rPr>
                <w:rFonts w:ascii="Georgia" w:hAnsi="Georgia" w:cstheme="minorHAnsi"/>
                <w:sz w:val="16"/>
                <w:szCs w:val="16"/>
              </w:rPr>
            </w:pPr>
            <w:r w:rsidRPr="00314C12">
              <w:rPr>
                <w:rFonts w:ascii="Georgia" w:hAnsi="Georgia" w:cstheme="minorHAnsi"/>
                <w:sz w:val="16"/>
                <w:szCs w:val="16"/>
              </w:rPr>
              <w:t xml:space="preserve">Stock lending </w:t>
            </w:r>
            <w:r w:rsidR="00EB165B" w:rsidRPr="00314C12">
              <w:rPr>
                <w:rFonts w:ascii="Georgia" w:hAnsi="Georgia" w:cstheme="minorHAnsi"/>
                <w:sz w:val="16"/>
                <w:szCs w:val="16"/>
              </w:rPr>
              <w:t xml:space="preserve">occurs and stock is rarely </w:t>
            </w:r>
            <w:r w:rsidR="0039457F" w:rsidRPr="00314C12">
              <w:rPr>
                <w:rFonts w:ascii="Georgia" w:hAnsi="Georgia" w:cstheme="minorHAnsi"/>
                <w:sz w:val="16"/>
                <w:szCs w:val="16"/>
              </w:rPr>
              <w:t xml:space="preserve">actively </w:t>
            </w:r>
            <w:r w:rsidR="00EB165B" w:rsidRPr="00314C12">
              <w:rPr>
                <w:rFonts w:ascii="Georgia" w:hAnsi="Georgia" w:cstheme="minorHAnsi"/>
                <w:sz w:val="16"/>
                <w:szCs w:val="16"/>
              </w:rPr>
              <w:t>recalled.</w:t>
            </w:r>
          </w:p>
        </w:tc>
        <w:tc>
          <w:tcPr>
            <w:tcW w:w="1843" w:type="dxa"/>
            <w:vMerge/>
          </w:tcPr>
          <w:p w:rsidR="000C1A85" w:rsidRPr="007473E9" w:rsidRDefault="000C1A85" w:rsidP="007473E9">
            <w:pPr>
              <w:jc w:val="both"/>
              <w:rPr>
                <w:sz w:val="16"/>
                <w:szCs w:val="16"/>
              </w:rPr>
            </w:pPr>
          </w:p>
        </w:tc>
      </w:tr>
      <w:tr w:rsidR="00EB7329" w:rsidTr="00EB7329">
        <w:trPr>
          <w:trHeight w:val="1563"/>
        </w:trPr>
        <w:tc>
          <w:tcPr>
            <w:tcW w:w="1526" w:type="dxa"/>
            <w:shd w:val="clear" w:color="auto" w:fill="B6DDE8" w:themeFill="accent5" w:themeFillTint="66"/>
            <w:vAlign w:val="center"/>
          </w:tcPr>
          <w:p w:rsidR="00EB7329" w:rsidRPr="00314C12" w:rsidRDefault="009A5B0F" w:rsidP="00EB7329">
            <w:pPr>
              <w:jc w:val="center"/>
              <w:rPr>
                <w:rFonts w:ascii="Gotham XNarrow Bold" w:hAnsi="Gotham XNarrow Bold"/>
                <w:i/>
                <w:sz w:val="20"/>
                <w:szCs w:val="20"/>
              </w:rPr>
            </w:pPr>
            <w:r w:rsidRPr="00314C12">
              <w:rPr>
                <w:rFonts w:ascii="Gotham XNarrow Bold" w:hAnsi="Gotham XNarrow Bold"/>
                <w:sz w:val="20"/>
                <w:szCs w:val="20"/>
              </w:rPr>
              <w:t>ESCALATION</w:t>
            </w:r>
          </w:p>
          <w:p w:rsidR="00EB7329" w:rsidRPr="00314C12" w:rsidRDefault="00EB7329" w:rsidP="00EB7329">
            <w:pPr>
              <w:jc w:val="center"/>
              <w:rPr>
                <w:rFonts w:ascii="Gotham XNarrow Bold" w:hAnsi="Gotham XNarrow Bold"/>
                <w:sz w:val="20"/>
                <w:szCs w:val="20"/>
              </w:rPr>
            </w:pPr>
          </w:p>
        </w:tc>
        <w:tc>
          <w:tcPr>
            <w:tcW w:w="1559" w:type="dxa"/>
            <w:shd w:val="clear" w:color="auto" w:fill="B6DDE8" w:themeFill="accent5" w:themeFillTint="66"/>
            <w:vAlign w:val="center"/>
          </w:tcPr>
          <w:p w:rsidR="00EB7329" w:rsidRPr="00314C12" w:rsidRDefault="009A5B0F" w:rsidP="00EB7329">
            <w:pPr>
              <w:jc w:val="center"/>
              <w:rPr>
                <w:rFonts w:ascii="Gotham XNarrow Bold" w:hAnsi="Gotham XNarrow Bold"/>
                <w:sz w:val="20"/>
                <w:szCs w:val="20"/>
              </w:rPr>
            </w:pPr>
            <w:r w:rsidRPr="00314C12">
              <w:rPr>
                <w:rFonts w:ascii="Gotham XNarrow Bold" w:hAnsi="Gotham XNarrow Bold"/>
                <w:sz w:val="20"/>
                <w:szCs w:val="20"/>
              </w:rPr>
              <w:t>ESCALATION</w:t>
            </w:r>
          </w:p>
        </w:tc>
        <w:tc>
          <w:tcPr>
            <w:tcW w:w="3402" w:type="dxa"/>
          </w:tcPr>
          <w:p w:rsidR="00EB7329" w:rsidRPr="00314C12" w:rsidRDefault="00EB7329" w:rsidP="009A5B0F">
            <w:pPr>
              <w:rPr>
                <w:rFonts w:ascii="Georgia" w:hAnsi="Georgia" w:cstheme="minorHAnsi"/>
                <w:sz w:val="16"/>
                <w:szCs w:val="16"/>
              </w:rPr>
            </w:pPr>
            <w:r w:rsidRPr="00314C12">
              <w:rPr>
                <w:rFonts w:ascii="Georgia" w:hAnsi="Georgia" w:cstheme="minorHAnsi"/>
                <w:sz w:val="16"/>
                <w:szCs w:val="16"/>
              </w:rPr>
              <w:t>Systematically utilises when necessary all powers at disposal in order coherently to support the highest standards of governance at investee companies. This includes voting on the re-election of directors; the adoption of the annual report and accounts; the (re)appointment of the auditors; attending AGMs and tabling shareholder resolutions.</w:t>
            </w:r>
          </w:p>
        </w:tc>
        <w:tc>
          <w:tcPr>
            <w:tcW w:w="2835" w:type="dxa"/>
          </w:tcPr>
          <w:p w:rsidR="00EB7329" w:rsidRPr="00314C12" w:rsidRDefault="00EB7329" w:rsidP="009A5B0F">
            <w:pPr>
              <w:rPr>
                <w:rFonts w:ascii="Georgia" w:hAnsi="Georgia" w:cstheme="minorHAnsi"/>
                <w:sz w:val="16"/>
                <w:szCs w:val="16"/>
              </w:rPr>
            </w:pPr>
            <w:r w:rsidRPr="00314C12">
              <w:rPr>
                <w:rFonts w:ascii="Georgia" w:hAnsi="Georgia" w:cstheme="minorHAnsi"/>
                <w:sz w:val="16"/>
                <w:szCs w:val="16"/>
              </w:rPr>
              <w:t>Regularly demonstrates a willingness to utilise full range of powers at disposal when necessary including in particular escalating voting to individual directors, supporting shareholder resolutions and attending AGMs.</w:t>
            </w:r>
          </w:p>
        </w:tc>
        <w:tc>
          <w:tcPr>
            <w:tcW w:w="2410" w:type="dxa"/>
          </w:tcPr>
          <w:p w:rsidR="00EB7329" w:rsidRPr="00314C12" w:rsidRDefault="00EB7329" w:rsidP="009A5B0F">
            <w:pPr>
              <w:rPr>
                <w:rFonts w:ascii="Georgia" w:hAnsi="Georgia" w:cstheme="minorHAnsi"/>
                <w:sz w:val="16"/>
                <w:szCs w:val="16"/>
              </w:rPr>
            </w:pPr>
            <w:r w:rsidRPr="00314C12">
              <w:rPr>
                <w:rFonts w:ascii="Georgia" w:hAnsi="Georgia" w:cstheme="minorHAnsi"/>
                <w:sz w:val="16"/>
                <w:szCs w:val="16"/>
              </w:rPr>
              <w:t>Occasionally may escalate engagement activities when necessary by for example escalating voting to individual directors.</w:t>
            </w:r>
          </w:p>
        </w:tc>
        <w:tc>
          <w:tcPr>
            <w:tcW w:w="2126" w:type="dxa"/>
          </w:tcPr>
          <w:p w:rsidR="00EB7329" w:rsidRPr="00314C12" w:rsidRDefault="00EB7329" w:rsidP="009A5B0F">
            <w:pPr>
              <w:rPr>
                <w:rFonts w:ascii="Georgia" w:hAnsi="Georgia" w:cstheme="minorHAnsi"/>
                <w:sz w:val="16"/>
                <w:szCs w:val="16"/>
              </w:rPr>
            </w:pPr>
            <w:r w:rsidRPr="00314C12">
              <w:rPr>
                <w:rFonts w:ascii="Georgia" w:hAnsi="Georgia" w:cstheme="minorHAnsi"/>
                <w:sz w:val="16"/>
                <w:szCs w:val="16"/>
              </w:rPr>
              <w:t>Rarely, if ever escalates engagement activities.</w:t>
            </w:r>
          </w:p>
        </w:tc>
        <w:tc>
          <w:tcPr>
            <w:tcW w:w="1843" w:type="dxa"/>
          </w:tcPr>
          <w:p w:rsidR="00EB7329" w:rsidRPr="007473E9" w:rsidRDefault="00EB7329" w:rsidP="007D07A8">
            <w:pPr>
              <w:jc w:val="both"/>
              <w:rPr>
                <w:sz w:val="16"/>
                <w:szCs w:val="16"/>
              </w:rPr>
            </w:pPr>
          </w:p>
        </w:tc>
      </w:tr>
      <w:tr w:rsidR="00E1674F" w:rsidTr="00060BA7">
        <w:trPr>
          <w:trHeight w:val="387"/>
        </w:trPr>
        <w:tc>
          <w:tcPr>
            <w:tcW w:w="1526" w:type="dxa"/>
            <w:vMerge w:val="restart"/>
            <w:shd w:val="clear" w:color="auto" w:fill="B6DDE8" w:themeFill="accent5" w:themeFillTint="66"/>
            <w:vAlign w:val="center"/>
          </w:tcPr>
          <w:p w:rsidR="000C1A85" w:rsidRPr="00314C12" w:rsidRDefault="009A5B0F" w:rsidP="00295153">
            <w:pPr>
              <w:jc w:val="center"/>
              <w:rPr>
                <w:rFonts w:ascii="Gotham XNarrow Bold" w:hAnsi="Gotham XNarrow Bold"/>
                <w:i/>
                <w:sz w:val="20"/>
                <w:szCs w:val="20"/>
              </w:rPr>
            </w:pPr>
            <w:r w:rsidRPr="00314C12">
              <w:rPr>
                <w:rFonts w:ascii="Gotham XNarrow Bold" w:hAnsi="Gotham XNarrow Bold"/>
                <w:sz w:val="20"/>
                <w:szCs w:val="20"/>
              </w:rPr>
              <w:t>REPORTING TO CLIENTS</w:t>
            </w:r>
          </w:p>
          <w:p w:rsidR="000C1A85" w:rsidRPr="00314C12" w:rsidRDefault="000C1A85" w:rsidP="00295153">
            <w:pPr>
              <w:jc w:val="center"/>
              <w:rPr>
                <w:rFonts w:ascii="Gotham XNarrow Bold" w:hAnsi="Gotham XNarrow Bold"/>
              </w:rPr>
            </w:pPr>
          </w:p>
        </w:tc>
        <w:tc>
          <w:tcPr>
            <w:tcW w:w="1559" w:type="dxa"/>
            <w:shd w:val="clear" w:color="auto" w:fill="B6DDE8" w:themeFill="accent5" w:themeFillTint="66"/>
            <w:vAlign w:val="center"/>
          </w:tcPr>
          <w:p w:rsidR="000C1A85" w:rsidRPr="00314C12" w:rsidRDefault="009A5B0F" w:rsidP="007B2C2B">
            <w:pPr>
              <w:jc w:val="center"/>
              <w:rPr>
                <w:rFonts w:ascii="Gotham XNarrow Bold" w:hAnsi="Gotham XNarrow Bold"/>
                <w:sz w:val="20"/>
                <w:szCs w:val="20"/>
              </w:rPr>
            </w:pPr>
            <w:r w:rsidRPr="00314C12">
              <w:rPr>
                <w:rFonts w:ascii="Gotham XNarrow Bold" w:hAnsi="Gotham XNarrow Bold"/>
                <w:sz w:val="20"/>
                <w:szCs w:val="20"/>
              </w:rPr>
              <w:t>TIMING</w:t>
            </w:r>
          </w:p>
        </w:tc>
        <w:tc>
          <w:tcPr>
            <w:tcW w:w="3402" w:type="dxa"/>
            <w:shd w:val="clear" w:color="auto" w:fill="auto"/>
          </w:tcPr>
          <w:p w:rsidR="000C1A85" w:rsidRPr="00314C12" w:rsidRDefault="000C1A85" w:rsidP="009A5B0F">
            <w:pPr>
              <w:rPr>
                <w:rFonts w:ascii="Georgia" w:hAnsi="Georgia" w:cstheme="minorHAnsi"/>
                <w:sz w:val="16"/>
                <w:szCs w:val="16"/>
              </w:rPr>
            </w:pPr>
            <w:r w:rsidRPr="00314C12">
              <w:rPr>
                <w:rFonts w:ascii="Georgia" w:hAnsi="Georgia" w:cstheme="minorHAnsi"/>
                <w:sz w:val="16"/>
                <w:szCs w:val="16"/>
              </w:rPr>
              <w:t xml:space="preserve">There is </w:t>
            </w:r>
            <w:r w:rsidR="007473E9" w:rsidRPr="00314C12">
              <w:rPr>
                <w:rFonts w:ascii="Georgia" w:hAnsi="Georgia" w:cstheme="minorHAnsi"/>
                <w:sz w:val="16"/>
                <w:szCs w:val="16"/>
              </w:rPr>
              <w:t xml:space="preserve">real-time or weekly </w:t>
            </w:r>
            <w:r w:rsidRPr="00314C12">
              <w:rPr>
                <w:rFonts w:ascii="Georgia" w:hAnsi="Georgia" w:cstheme="minorHAnsi"/>
                <w:sz w:val="16"/>
                <w:szCs w:val="16"/>
              </w:rPr>
              <w:t xml:space="preserve">client specific reporting </w:t>
            </w:r>
            <w:r w:rsidR="007473E9" w:rsidRPr="00314C12">
              <w:rPr>
                <w:rFonts w:ascii="Georgia" w:hAnsi="Georgia" w:cstheme="minorHAnsi"/>
                <w:sz w:val="16"/>
                <w:szCs w:val="16"/>
              </w:rPr>
              <w:t xml:space="preserve">of stewardship activities. </w:t>
            </w:r>
          </w:p>
        </w:tc>
        <w:tc>
          <w:tcPr>
            <w:tcW w:w="2835" w:type="dxa"/>
            <w:shd w:val="clear" w:color="auto" w:fill="auto"/>
          </w:tcPr>
          <w:p w:rsidR="000C1A85" w:rsidRPr="00314C12" w:rsidRDefault="000C1A85" w:rsidP="009A5B0F">
            <w:pPr>
              <w:rPr>
                <w:rFonts w:ascii="Georgia" w:hAnsi="Georgia" w:cstheme="minorHAnsi"/>
                <w:sz w:val="16"/>
                <w:szCs w:val="16"/>
              </w:rPr>
            </w:pPr>
            <w:r w:rsidRPr="00314C12">
              <w:rPr>
                <w:rFonts w:ascii="Georgia" w:hAnsi="Georgia" w:cstheme="minorHAnsi"/>
                <w:sz w:val="16"/>
                <w:szCs w:val="16"/>
              </w:rPr>
              <w:t xml:space="preserve">There is </w:t>
            </w:r>
            <w:r w:rsidR="007473E9" w:rsidRPr="00314C12">
              <w:rPr>
                <w:rFonts w:ascii="Georgia" w:hAnsi="Georgia" w:cstheme="minorHAnsi"/>
                <w:sz w:val="16"/>
                <w:szCs w:val="16"/>
              </w:rPr>
              <w:t xml:space="preserve">at </w:t>
            </w:r>
            <w:r w:rsidR="002A4573" w:rsidRPr="00314C12">
              <w:rPr>
                <w:rFonts w:ascii="Georgia" w:hAnsi="Georgia" w:cstheme="minorHAnsi"/>
                <w:sz w:val="16"/>
                <w:szCs w:val="16"/>
              </w:rPr>
              <w:t xml:space="preserve">least </w:t>
            </w:r>
            <w:r w:rsidR="007473E9" w:rsidRPr="00314C12">
              <w:rPr>
                <w:rFonts w:ascii="Georgia" w:hAnsi="Georgia" w:cstheme="minorHAnsi"/>
                <w:sz w:val="16"/>
                <w:szCs w:val="16"/>
              </w:rPr>
              <w:t xml:space="preserve">quarterly </w:t>
            </w:r>
            <w:r w:rsidRPr="00314C12">
              <w:rPr>
                <w:rFonts w:ascii="Georgia" w:hAnsi="Georgia" w:cstheme="minorHAnsi"/>
                <w:sz w:val="16"/>
                <w:szCs w:val="16"/>
              </w:rPr>
              <w:t xml:space="preserve">client specific reporting </w:t>
            </w:r>
            <w:r w:rsidR="00E9159F" w:rsidRPr="00314C12">
              <w:rPr>
                <w:rFonts w:ascii="Georgia" w:hAnsi="Georgia" w:cstheme="minorHAnsi"/>
                <w:sz w:val="16"/>
                <w:szCs w:val="16"/>
              </w:rPr>
              <w:t>of stewardship activities</w:t>
            </w:r>
            <w:r w:rsidRPr="00314C12">
              <w:rPr>
                <w:rFonts w:ascii="Georgia" w:hAnsi="Georgia" w:cstheme="minorHAnsi"/>
                <w:sz w:val="16"/>
                <w:szCs w:val="16"/>
              </w:rPr>
              <w:t>.</w:t>
            </w:r>
          </w:p>
        </w:tc>
        <w:tc>
          <w:tcPr>
            <w:tcW w:w="2410" w:type="dxa"/>
            <w:shd w:val="clear" w:color="auto" w:fill="auto"/>
          </w:tcPr>
          <w:p w:rsidR="000C1A85" w:rsidRPr="00314C12" w:rsidRDefault="000C1A85" w:rsidP="009A5B0F">
            <w:pPr>
              <w:rPr>
                <w:rFonts w:ascii="Georgia" w:hAnsi="Georgia" w:cstheme="minorHAnsi"/>
                <w:sz w:val="16"/>
                <w:szCs w:val="16"/>
              </w:rPr>
            </w:pPr>
            <w:r w:rsidRPr="00314C12">
              <w:rPr>
                <w:rFonts w:ascii="Georgia" w:hAnsi="Georgia" w:cstheme="minorHAnsi"/>
                <w:sz w:val="16"/>
                <w:szCs w:val="16"/>
              </w:rPr>
              <w:t xml:space="preserve">There is </w:t>
            </w:r>
            <w:r w:rsidR="007473E9" w:rsidRPr="00314C12">
              <w:rPr>
                <w:rFonts w:ascii="Georgia" w:hAnsi="Georgia" w:cstheme="minorHAnsi"/>
                <w:sz w:val="16"/>
                <w:szCs w:val="16"/>
              </w:rPr>
              <w:t xml:space="preserve">at least annual </w:t>
            </w:r>
            <w:r w:rsidRPr="00314C12">
              <w:rPr>
                <w:rFonts w:ascii="Georgia" w:hAnsi="Georgia" w:cstheme="minorHAnsi"/>
                <w:sz w:val="16"/>
                <w:szCs w:val="16"/>
              </w:rPr>
              <w:t xml:space="preserve">reporting </w:t>
            </w:r>
            <w:r w:rsidR="00E9159F" w:rsidRPr="00314C12">
              <w:rPr>
                <w:rFonts w:ascii="Georgia" w:hAnsi="Georgia" w:cstheme="minorHAnsi"/>
                <w:sz w:val="16"/>
                <w:szCs w:val="16"/>
              </w:rPr>
              <w:t>of stewardship activities</w:t>
            </w:r>
            <w:r w:rsidRPr="00314C12">
              <w:rPr>
                <w:rFonts w:ascii="Georgia" w:hAnsi="Georgia" w:cstheme="minorHAnsi"/>
                <w:sz w:val="16"/>
                <w:szCs w:val="16"/>
              </w:rPr>
              <w:t>.</w:t>
            </w:r>
          </w:p>
        </w:tc>
        <w:tc>
          <w:tcPr>
            <w:tcW w:w="2126" w:type="dxa"/>
            <w:shd w:val="clear" w:color="auto" w:fill="auto"/>
          </w:tcPr>
          <w:p w:rsidR="000C1A85" w:rsidRPr="00314C12" w:rsidRDefault="002A4573" w:rsidP="009A5B0F">
            <w:pPr>
              <w:rPr>
                <w:rFonts w:ascii="Georgia" w:hAnsi="Georgia" w:cstheme="minorHAnsi"/>
                <w:sz w:val="16"/>
                <w:szCs w:val="16"/>
              </w:rPr>
            </w:pPr>
            <w:r w:rsidRPr="00314C12">
              <w:rPr>
                <w:rFonts w:ascii="Georgia" w:hAnsi="Georgia" w:cstheme="minorHAnsi"/>
                <w:sz w:val="16"/>
                <w:szCs w:val="16"/>
              </w:rPr>
              <w:t>There is n</w:t>
            </w:r>
            <w:r w:rsidR="000C1A85" w:rsidRPr="00314C12">
              <w:rPr>
                <w:rFonts w:ascii="Georgia" w:hAnsi="Georgia" w:cstheme="minorHAnsi"/>
                <w:sz w:val="16"/>
                <w:szCs w:val="16"/>
              </w:rPr>
              <w:t xml:space="preserve">o specific reporting </w:t>
            </w:r>
            <w:r w:rsidR="007473E9" w:rsidRPr="00314C12">
              <w:rPr>
                <w:rFonts w:ascii="Georgia" w:hAnsi="Georgia" w:cstheme="minorHAnsi"/>
                <w:sz w:val="16"/>
                <w:szCs w:val="16"/>
              </w:rPr>
              <w:t xml:space="preserve">of stewardship </w:t>
            </w:r>
            <w:r w:rsidR="000C1A85" w:rsidRPr="00314C12">
              <w:rPr>
                <w:rFonts w:ascii="Georgia" w:hAnsi="Georgia" w:cstheme="minorHAnsi"/>
                <w:sz w:val="16"/>
                <w:szCs w:val="16"/>
              </w:rPr>
              <w:t>activities.</w:t>
            </w:r>
          </w:p>
        </w:tc>
        <w:tc>
          <w:tcPr>
            <w:tcW w:w="1843" w:type="dxa"/>
            <w:vMerge w:val="restart"/>
          </w:tcPr>
          <w:p w:rsidR="000C1A85" w:rsidRPr="007473E9" w:rsidRDefault="000C1A85" w:rsidP="007473E9">
            <w:pPr>
              <w:jc w:val="both"/>
              <w:rPr>
                <w:sz w:val="16"/>
                <w:szCs w:val="16"/>
              </w:rPr>
            </w:pPr>
          </w:p>
          <w:p w:rsidR="000C1A85" w:rsidRPr="007473E9" w:rsidRDefault="000C1A85" w:rsidP="007473E9">
            <w:pPr>
              <w:jc w:val="both"/>
              <w:rPr>
                <w:sz w:val="16"/>
                <w:szCs w:val="16"/>
              </w:rPr>
            </w:pPr>
          </w:p>
        </w:tc>
      </w:tr>
      <w:tr w:rsidR="00E1674F" w:rsidTr="007473E9">
        <w:trPr>
          <w:trHeight w:val="1367"/>
        </w:trPr>
        <w:tc>
          <w:tcPr>
            <w:tcW w:w="1526" w:type="dxa"/>
            <w:vMerge/>
            <w:shd w:val="clear" w:color="auto" w:fill="B6DDE8" w:themeFill="accent5" w:themeFillTint="66"/>
            <w:vAlign w:val="center"/>
          </w:tcPr>
          <w:p w:rsidR="000C1A85" w:rsidRPr="00314C12" w:rsidRDefault="000C1A85" w:rsidP="00295153">
            <w:pPr>
              <w:jc w:val="center"/>
              <w:rPr>
                <w:rFonts w:ascii="Gotham XNarrow Bold" w:hAnsi="Gotham XNarrow Bold"/>
              </w:rPr>
            </w:pPr>
          </w:p>
        </w:tc>
        <w:tc>
          <w:tcPr>
            <w:tcW w:w="1559" w:type="dxa"/>
            <w:shd w:val="clear" w:color="auto" w:fill="B6DDE8" w:themeFill="accent5" w:themeFillTint="66"/>
            <w:vAlign w:val="center"/>
          </w:tcPr>
          <w:p w:rsidR="000C1A85" w:rsidRPr="00314C12" w:rsidRDefault="009A5B0F" w:rsidP="007B2C2B">
            <w:pPr>
              <w:jc w:val="center"/>
              <w:rPr>
                <w:rFonts w:ascii="Gotham XNarrow Bold" w:hAnsi="Gotham XNarrow Bold"/>
                <w:sz w:val="20"/>
                <w:szCs w:val="20"/>
              </w:rPr>
            </w:pPr>
            <w:r w:rsidRPr="00314C12">
              <w:rPr>
                <w:rFonts w:ascii="Gotham XNarrow Bold" w:hAnsi="Gotham XNarrow Bold"/>
                <w:sz w:val="20"/>
                <w:szCs w:val="20"/>
              </w:rPr>
              <w:t>CONTENT</w:t>
            </w:r>
          </w:p>
        </w:tc>
        <w:tc>
          <w:tcPr>
            <w:tcW w:w="3402" w:type="dxa"/>
            <w:shd w:val="clear" w:color="auto" w:fill="auto"/>
          </w:tcPr>
          <w:p w:rsidR="001E161E" w:rsidRPr="00314C12" w:rsidRDefault="000C1A85" w:rsidP="009A5B0F">
            <w:pPr>
              <w:rPr>
                <w:rFonts w:ascii="Georgia" w:hAnsi="Georgia" w:cstheme="minorHAnsi"/>
                <w:sz w:val="16"/>
                <w:szCs w:val="16"/>
              </w:rPr>
            </w:pPr>
            <w:r w:rsidRPr="00314C12">
              <w:rPr>
                <w:rFonts w:ascii="Georgia" w:hAnsi="Georgia" w:cstheme="minorHAnsi"/>
                <w:sz w:val="16"/>
                <w:szCs w:val="16"/>
              </w:rPr>
              <w:t xml:space="preserve">Reporting </w:t>
            </w:r>
            <w:r w:rsidR="007473E9" w:rsidRPr="00314C12">
              <w:rPr>
                <w:rFonts w:ascii="Georgia" w:hAnsi="Georgia" w:cstheme="minorHAnsi"/>
                <w:sz w:val="16"/>
                <w:szCs w:val="16"/>
              </w:rPr>
              <w:t>is integrated int</w:t>
            </w:r>
            <w:r w:rsidR="00793D82" w:rsidRPr="00314C12">
              <w:rPr>
                <w:rFonts w:ascii="Georgia" w:hAnsi="Georgia" w:cstheme="minorHAnsi"/>
                <w:sz w:val="16"/>
                <w:szCs w:val="16"/>
              </w:rPr>
              <w:t xml:space="preserve">o the broader reporting process and </w:t>
            </w:r>
            <w:r w:rsidR="001E161E" w:rsidRPr="00314C12">
              <w:rPr>
                <w:rFonts w:ascii="Georgia" w:hAnsi="Georgia" w:cstheme="minorHAnsi"/>
                <w:sz w:val="16"/>
                <w:szCs w:val="16"/>
              </w:rPr>
              <w:t>demonstrate</w:t>
            </w:r>
            <w:r w:rsidR="00793D82" w:rsidRPr="00314C12">
              <w:rPr>
                <w:rFonts w:ascii="Georgia" w:hAnsi="Georgia" w:cstheme="minorHAnsi"/>
                <w:sz w:val="16"/>
                <w:szCs w:val="16"/>
              </w:rPr>
              <w:t>s</w:t>
            </w:r>
            <w:r w:rsidR="001E161E" w:rsidRPr="00314C12">
              <w:rPr>
                <w:rFonts w:ascii="Georgia" w:hAnsi="Georgia" w:cstheme="minorHAnsi"/>
                <w:sz w:val="16"/>
                <w:szCs w:val="16"/>
              </w:rPr>
              <w:t xml:space="preserve"> how stewardship activities and ESG integration are connected in the investment process</w:t>
            </w:r>
            <w:r w:rsidR="00793D82" w:rsidRPr="00314C12">
              <w:rPr>
                <w:rFonts w:ascii="Georgia" w:hAnsi="Georgia" w:cstheme="minorHAnsi"/>
                <w:sz w:val="16"/>
                <w:szCs w:val="16"/>
              </w:rPr>
              <w:t xml:space="preserve"> and have combined to enhance or protect value</w:t>
            </w:r>
            <w:r w:rsidR="001E161E" w:rsidRPr="00314C12">
              <w:rPr>
                <w:rFonts w:ascii="Georgia" w:hAnsi="Georgia" w:cstheme="minorHAnsi"/>
                <w:sz w:val="16"/>
                <w:szCs w:val="16"/>
              </w:rPr>
              <w:t>.</w:t>
            </w:r>
          </w:p>
          <w:p w:rsidR="001E161E" w:rsidRPr="00314C12" w:rsidRDefault="001E161E" w:rsidP="009A5B0F">
            <w:pPr>
              <w:rPr>
                <w:rFonts w:ascii="Georgia" w:hAnsi="Georgia" w:cstheme="minorHAnsi"/>
                <w:sz w:val="16"/>
                <w:szCs w:val="16"/>
              </w:rPr>
            </w:pPr>
          </w:p>
          <w:p w:rsidR="00793D82" w:rsidRPr="00314C12" w:rsidRDefault="007473E9" w:rsidP="009A5B0F">
            <w:pPr>
              <w:rPr>
                <w:rFonts w:ascii="Georgia" w:hAnsi="Georgia" w:cstheme="minorHAnsi"/>
                <w:sz w:val="16"/>
                <w:szCs w:val="16"/>
              </w:rPr>
            </w:pPr>
            <w:r w:rsidRPr="00314C12">
              <w:rPr>
                <w:rFonts w:ascii="Georgia" w:hAnsi="Georgia" w:cstheme="minorHAnsi"/>
                <w:sz w:val="16"/>
                <w:szCs w:val="16"/>
              </w:rPr>
              <w:t xml:space="preserve">Reporting </w:t>
            </w:r>
            <w:r w:rsidR="000C1A85" w:rsidRPr="00314C12">
              <w:rPr>
                <w:rFonts w:ascii="Georgia" w:hAnsi="Georgia" w:cstheme="minorHAnsi"/>
                <w:sz w:val="16"/>
                <w:szCs w:val="16"/>
              </w:rPr>
              <w:t xml:space="preserve">includes </w:t>
            </w:r>
            <w:r w:rsidR="002A4573" w:rsidRPr="00314C12">
              <w:rPr>
                <w:rFonts w:ascii="Georgia" w:hAnsi="Georgia" w:cstheme="minorHAnsi"/>
                <w:sz w:val="16"/>
                <w:szCs w:val="16"/>
              </w:rPr>
              <w:t>at a minimum</w:t>
            </w:r>
            <w:r w:rsidR="00793D82" w:rsidRPr="00314C12">
              <w:rPr>
                <w:rFonts w:ascii="Georgia" w:hAnsi="Georgia" w:cstheme="minorHAnsi"/>
                <w:sz w:val="16"/>
                <w:szCs w:val="16"/>
              </w:rPr>
              <w:t>:</w:t>
            </w:r>
            <w:r w:rsidR="002A4573" w:rsidRPr="00314C12">
              <w:rPr>
                <w:rFonts w:ascii="Georgia" w:hAnsi="Georgia" w:cstheme="minorHAnsi"/>
                <w:sz w:val="16"/>
                <w:szCs w:val="16"/>
              </w:rPr>
              <w:t xml:space="preserve"> </w:t>
            </w:r>
          </w:p>
          <w:p w:rsidR="00793D82" w:rsidRPr="00314C12" w:rsidRDefault="000C1A85" w:rsidP="009A5B0F">
            <w:pPr>
              <w:pStyle w:val="ListParagraph"/>
              <w:numPr>
                <w:ilvl w:val="0"/>
                <w:numId w:val="3"/>
              </w:numPr>
              <w:rPr>
                <w:rFonts w:ascii="Georgia" w:hAnsi="Georgia" w:cstheme="minorHAnsi"/>
                <w:sz w:val="16"/>
                <w:szCs w:val="16"/>
              </w:rPr>
            </w:pPr>
            <w:r w:rsidRPr="00314C12">
              <w:rPr>
                <w:rFonts w:ascii="Georgia" w:hAnsi="Georgia" w:cstheme="minorHAnsi"/>
                <w:sz w:val="16"/>
                <w:szCs w:val="16"/>
              </w:rPr>
              <w:t xml:space="preserve">evidence of </w:t>
            </w:r>
            <w:r w:rsidR="00060BA7" w:rsidRPr="00314C12">
              <w:rPr>
                <w:rFonts w:ascii="Georgia" w:hAnsi="Georgia" w:cstheme="minorHAnsi"/>
                <w:sz w:val="16"/>
                <w:szCs w:val="16"/>
              </w:rPr>
              <w:t xml:space="preserve">engagement </w:t>
            </w:r>
            <w:r w:rsidRPr="00314C12">
              <w:rPr>
                <w:rFonts w:ascii="Georgia" w:hAnsi="Georgia" w:cstheme="minorHAnsi"/>
                <w:sz w:val="16"/>
                <w:szCs w:val="16"/>
              </w:rPr>
              <w:t xml:space="preserve">activities undertaken with </w:t>
            </w:r>
            <w:r w:rsidR="00793D82" w:rsidRPr="00314C12">
              <w:rPr>
                <w:rFonts w:ascii="Georgia" w:hAnsi="Georgia" w:cstheme="minorHAnsi"/>
                <w:sz w:val="16"/>
                <w:szCs w:val="16"/>
              </w:rPr>
              <w:t>identified case studies and progress against objectives;</w:t>
            </w:r>
            <w:r w:rsidR="00060BA7" w:rsidRPr="00314C12">
              <w:rPr>
                <w:rFonts w:ascii="Georgia" w:hAnsi="Georgia" w:cstheme="minorHAnsi"/>
                <w:sz w:val="16"/>
                <w:szCs w:val="16"/>
              </w:rPr>
              <w:t xml:space="preserve"> and</w:t>
            </w:r>
          </w:p>
          <w:p w:rsidR="00793D82" w:rsidRPr="00314C12" w:rsidRDefault="00793D82" w:rsidP="009A5B0F">
            <w:pPr>
              <w:pStyle w:val="ListParagraph"/>
              <w:numPr>
                <w:ilvl w:val="0"/>
                <w:numId w:val="3"/>
              </w:numPr>
              <w:rPr>
                <w:rFonts w:ascii="Georgia" w:hAnsi="Georgia" w:cstheme="minorHAnsi"/>
                <w:sz w:val="16"/>
                <w:szCs w:val="16"/>
              </w:rPr>
            </w:pPr>
            <w:proofErr w:type="gramStart"/>
            <w:r w:rsidRPr="00314C12">
              <w:rPr>
                <w:rFonts w:ascii="Georgia" w:hAnsi="Georgia" w:cstheme="minorHAnsi"/>
                <w:sz w:val="16"/>
                <w:szCs w:val="16"/>
              </w:rPr>
              <w:t>benchmark</w:t>
            </w:r>
            <w:proofErr w:type="gramEnd"/>
            <w:r w:rsidRPr="00314C12">
              <w:rPr>
                <w:rFonts w:ascii="Georgia" w:hAnsi="Georgia" w:cstheme="minorHAnsi"/>
                <w:sz w:val="16"/>
                <w:szCs w:val="16"/>
              </w:rPr>
              <w:t xml:space="preserve"> relative, portfolio level ESG analysis</w:t>
            </w:r>
            <w:r w:rsidRPr="00314C12">
              <w:rPr>
                <w:rFonts w:ascii="Georgia" w:hAnsi="Georgia"/>
              </w:rPr>
              <w:t xml:space="preserve"> </w:t>
            </w:r>
            <w:r w:rsidRPr="00314C12">
              <w:rPr>
                <w:rFonts w:ascii="Georgia" w:hAnsi="Georgia" w:cstheme="minorHAnsi"/>
                <w:sz w:val="16"/>
                <w:szCs w:val="16"/>
              </w:rPr>
              <w:t>including examples of factors identified and impact on buy/sell decisions.</w:t>
            </w:r>
          </w:p>
        </w:tc>
        <w:tc>
          <w:tcPr>
            <w:tcW w:w="2835" w:type="dxa"/>
            <w:shd w:val="clear" w:color="auto" w:fill="auto"/>
          </w:tcPr>
          <w:p w:rsidR="000C1A85" w:rsidRPr="00314C12" w:rsidRDefault="000C1A85" w:rsidP="009A5B0F">
            <w:pPr>
              <w:rPr>
                <w:rFonts w:ascii="Georgia" w:hAnsi="Georgia" w:cstheme="minorHAnsi"/>
                <w:sz w:val="16"/>
                <w:szCs w:val="16"/>
              </w:rPr>
            </w:pPr>
            <w:r w:rsidRPr="00314C12">
              <w:rPr>
                <w:rFonts w:ascii="Georgia" w:hAnsi="Georgia" w:cstheme="minorHAnsi"/>
                <w:sz w:val="16"/>
                <w:szCs w:val="16"/>
              </w:rPr>
              <w:t>Reporting includes evidence of activities undertaken – with case studies - an outline of on-going activity</w:t>
            </w:r>
            <w:r w:rsidR="00CF7860" w:rsidRPr="00314C12">
              <w:rPr>
                <w:rFonts w:ascii="Georgia" w:hAnsi="Georgia" w:cstheme="minorHAnsi"/>
                <w:sz w:val="16"/>
                <w:szCs w:val="16"/>
              </w:rPr>
              <w:t xml:space="preserve">, </w:t>
            </w:r>
            <w:r w:rsidR="002A4573" w:rsidRPr="00314C12">
              <w:rPr>
                <w:rFonts w:ascii="Georgia" w:hAnsi="Georgia" w:cstheme="minorHAnsi"/>
                <w:sz w:val="16"/>
                <w:szCs w:val="16"/>
              </w:rPr>
              <w:t>forward looking objectives</w:t>
            </w:r>
            <w:r w:rsidR="00CF7860" w:rsidRPr="00314C12">
              <w:rPr>
                <w:rFonts w:ascii="Georgia" w:hAnsi="Georgia" w:cstheme="minorHAnsi"/>
                <w:sz w:val="16"/>
                <w:szCs w:val="16"/>
              </w:rPr>
              <w:t xml:space="preserve"> and </w:t>
            </w:r>
            <w:r w:rsidR="00060BA7" w:rsidRPr="00314C12">
              <w:rPr>
                <w:rFonts w:ascii="Georgia" w:hAnsi="Georgia" w:cstheme="minorHAnsi"/>
                <w:sz w:val="16"/>
                <w:szCs w:val="16"/>
              </w:rPr>
              <w:t xml:space="preserve">analysis of ESG </w:t>
            </w:r>
            <w:r w:rsidR="00CF7860" w:rsidRPr="00314C12">
              <w:rPr>
                <w:rFonts w:ascii="Georgia" w:hAnsi="Georgia" w:cstheme="minorHAnsi"/>
                <w:sz w:val="16"/>
                <w:szCs w:val="16"/>
              </w:rPr>
              <w:t xml:space="preserve">risks within the portfolio. </w:t>
            </w:r>
          </w:p>
          <w:p w:rsidR="000C1A85" w:rsidRPr="00314C12" w:rsidRDefault="000C1A85" w:rsidP="009A5B0F">
            <w:pPr>
              <w:rPr>
                <w:rFonts w:ascii="Georgia" w:hAnsi="Georgia" w:cstheme="minorHAnsi"/>
                <w:sz w:val="16"/>
                <w:szCs w:val="16"/>
              </w:rPr>
            </w:pPr>
          </w:p>
        </w:tc>
        <w:tc>
          <w:tcPr>
            <w:tcW w:w="2410" w:type="dxa"/>
            <w:shd w:val="clear" w:color="auto" w:fill="auto"/>
          </w:tcPr>
          <w:p w:rsidR="000C1A85" w:rsidRPr="00314C12" w:rsidRDefault="000C1A85" w:rsidP="009A5B0F">
            <w:pPr>
              <w:rPr>
                <w:rFonts w:ascii="Georgia" w:hAnsi="Georgia" w:cstheme="minorHAnsi"/>
                <w:sz w:val="16"/>
                <w:szCs w:val="16"/>
              </w:rPr>
            </w:pPr>
            <w:r w:rsidRPr="00314C12">
              <w:rPr>
                <w:rFonts w:ascii="Georgia" w:hAnsi="Georgia" w:cstheme="minorHAnsi"/>
                <w:sz w:val="16"/>
                <w:szCs w:val="16"/>
              </w:rPr>
              <w:t xml:space="preserve">Reporting includes a summary of </w:t>
            </w:r>
            <w:r w:rsidR="00CF7860" w:rsidRPr="00314C12">
              <w:rPr>
                <w:rFonts w:ascii="Georgia" w:hAnsi="Georgia" w:cstheme="minorHAnsi"/>
                <w:sz w:val="16"/>
                <w:szCs w:val="16"/>
              </w:rPr>
              <w:t xml:space="preserve">stewardship </w:t>
            </w:r>
            <w:r w:rsidRPr="00314C12">
              <w:rPr>
                <w:rFonts w:ascii="Georgia" w:hAnsi="Georgia" w:cstheme="minorHAnsi"/>
                <w:sz w:val="16"/>
                <w:szCs w:val="16"/>
              </w:rPr>
              <w:t xml:space="preserve">activity undertaken and successes achieved. </w:t>
            </w:r>
          </w:p>
          <w:p w:rsidR="000C1A85" w:rsidRPr="00314C12" w:rsidRDefault="000C1A85" w:rsidP="009A5B0F">
            <w:pPr>
              <w:rPr>
                <w:rFonts w:ascii="Georgia" w:hAnsi="Georgia" w:cstheme="minorHAnsi"/>
                <w:sz w:val="16"/>
                <w:szCs w:val="16"/>
              </w:rPr>
            </w:pPr>
          </w:p>
        </w:tc>
        <w:tc>
          <w:tcPr>
            <w:tcW w:w="2126" w:type="dxa"/>
            <w:shd w:val="clear" w:color="auto" w:fill="auto"/>
          </w:tcPr>
          <w:p w:rsidR="000C1A85" w:rsidRPr="00314C12" w:rsidRDefault="000C1A85" w:rsidP="009A5B0F">
            <w:pPr>
              <w:rPr>
                <w:rFonts w:ascii="Georgia" w:hAnsi="Georgia" w:cstheme="minorHAnsi"/>
                <w:sz w:val="16"/>
                <w:szCs w:val="16"/>
              </w:rPr>
            </w:pPr>
            <w:r w:rsidRPr="00314C12">
              <w:rPr>
                <w:rFonts w:ascii="Georgia" w:hAnsi="Georgia" w:cstheme="minorHAnsi"/>
                <w:sz w:val="16"/>
                <w:szCs w:val="16"/>
              </w:rPr>
              <w:t xml:space="preserve">There is no </w:t>
            </w:r>
            <w:r w:rsidR="00EB165B" w:rsidRPr="00314C12">
              <w:rPr>
                <w:rFonts w:ascii="Georgia" w:hAnsi="Georgia" w:cstheme="minorHAnsi"/>
                <w:sz w:val="16"/>
                <w:szCs w:val="16"/>
              </w:rPr>
              <w:t xml:space="preserve">specific </w:t>
            </w:r>
            <w:r w:rsidRPr="00314C12">
              <w:rPr>
                <w:rFonts w:ascii="Georgia" w:hAnsi="Georgia" w:cstheme="minorHAnsi"/>
                <w:sz w:val="16"/>
                <w:szCs w:val="16"/>
              </w:rPr>
              <w:t>reporting to clients on stewardship activities</w:t>
            </w:r>
          </w:p>
        </w:tc>
        <w:tc>
          <w:tcPr>
            <w:tcW w:w="1843" w:type="dxa"/>
            <w:vMerge/>
          </w:tcPr>
          <w:p w:rsidR="000C1A85" w:rsidRPr="007473E9" w:rsidRDefault="000C1A85" w:rsidP="007473E9">
            <w:pPr>
              <w:jc w:val="both"/>
              <w:rPr>
                <w:sz w:val="16"/>
                <w:szCs w:val="16"/>
              </w:rPr>
            </w:pPr>
          </w:p>
        </w:tc>
      </w:tr>
      <w:tr w:rsidR="00E1674F" w:rsidTr="007473E9">
        <w:trPr>
          <w:trHeight w:val="732"/>
        </w:trPr>
        <w:tc>
          <w:tcPr>
            <w:tcW w:w="3085" w:type="dxa"/>
            <w:gridSpan w:val="2"/>
            <w:shd w:val="clear" w:color="auto" w:fill="B6DDE8" w:themeFill="accent5" w:themeFillTint="66"/>
            <w:vAlign w:val="center"/>
          </w:tcPr>
          <w:p w:rsidR="000C1A85" w:rsidRPr="00314C12" w:rsidRDefault="009A5B0F" w:rsidP="007B2C2B">
            <w:pPr>
              <w:jc w:val="center"/>
              <w:rPr>
                <w:rFonts w:ascii="Gotham XNarrow Bold" w:hAnsi="Gotham XNarrow Bold"/>
                <w:sz w:val="20"/>
                <w:szCs w:val="20"/>
              </w:rPr>
            </w:pPr>
            <w:r w:rsidRPr="00314C12">
              <w:rPr>
                <w:rFonts w:ascii="Gotham XNarrow Bold" w:hAnsi="Gotham XNarrow Bold"/>
                <w:sz w:val="20"/>
                <w:szCs w:val="20"/>
              </w:rPr>
              <w:t>COMPENSATION / INCENTIVES FOR INVESTMENT STAFF</w:t>
            </w:r>
          </w:p>
        </w:tc>
        <w:tc>
          <w:tcPr>
            <w:tcW w:w="3402" w:type="dxa"/>
            <w:shd w:val="clear" w:color="auto" w:fill="auto"/>
          </w:tcPr>
          <w:p w:rsidR="000C1A85" w:rsidRPr="00314C12" w:rsidRDefault="0039457F" w:rsidP="009A5B0F">
            <w:pPr>
              <w:rPr>
                <w:rFonts w:ascii="Georgia" w:hAnsi="Georgia" w:cstheme="minorHAnsi"/>
                <w:sz w:val="16"/>
                <w:szCs w:val="16"/>
              </w:rPr>
            </w:pPr>
            <w:r w:rsidRPr="00314C12">
              <w:rPr>
                <w:rFonts w:ascii="Georgia" w:hAnsi="Georgia"/>
                <w:sz w:val="16"/>
                <w:szCs w:val="20"/>
              </w:rPr>
              <w:t>Pay structures for investment staff are aligned with the interests of their clients and includes a s</w:t>
            </w:r>
            <w:r w:rsidR="007057B2" w:rsidRPr="00314C12">
              <w:rPr>
                <w:rFonts w:ascii="Georgia" w:hAnsi="Georgia"/>
                <w:sz w:val="16"/>
                <w:szCs w:val="20"/>
              </w:rPr>
              <w:t>ignificant proportion of c</w:t>
            </w:r>
            <w:r w:rsidR="000C1A85" w:rsidRPr="00314C12">
              <w:rPr>
                <w:rFonts w:ascii="Georgia" w:hAnsi="Georgia"/>
                <w:sz w:val="16"/>
                <w:szCs w:val="20"/>
              </w:rPr>
              <w:t>ompensation based on at least 5 year portfolio performance</w:t>
            </w:r>
            <w:r w:rsidR="00AC7094" w:rsidRPr="00314C12">
              <w:rPr>
                <w:rFonts w:ascii="Georgia" w:hAnsi="Georgia"/>
                <w:sz w:val="16"/>
                <w:szCs w:val="20"/>
              </w:rPr>
              <w:t xml:space="preserve"> with a policy on co-investment. </w:t>
            </w:r>
          </w:p>
        </w:tc>
        <w:tc>
          <w:tcPr>
            <w:tcW w:w="2835" w:type="dxa"/>
            <w:shd w:val="clear" w:color="auto" w:fill="auto"/>
          </w:tcPr>
          <w:p w:rsidR="000C1A85" w:rsidRPr="00314C12" w:rsidRDefault="007057B2" w:rsidP="009A5B0F">
            <w:pPr>
              <w:rPr>
                <w:rFonts w:ascii="Georgia" w:hAnsi="Georgia" w:cstheme="minorHAnsi"/>
                <w:sz w:val="16"/>
                <w:szCs w:val="16"/>
              </w:rPr>
            </w:pPr>
            <w:r w:rsidRPr="00314C12">
              <w:rPr>
                <w:rFonts w:ascii="Georgia" w:hAnsi="Georgia"/>
                <w:sz w:val="16"/>
                <w:szCs w:val="20"/>
              </w:rPr>
              <w:t>Significant proportion of compensation</w:t>
            </w:r>
            <w:r w:rsidR="000C1A85" w:rsidRPr="00314C12">
              <w:rPr>
                <w:rFonts w:ascii="Georgia" w:hAnsi="Georgia"/>
                <w:sz w:val="16"/>
                <w:szCs w:val="20"/>
              </w:rPr>
              <w:t xml:space="preserve"> for investment staff based on at least 3 year portfolio performance.</w:t>
            </w:r>
          </w:p>
        </w:tc>
        <w:tc>
          <w:tcPr>
            <w:tcW w:w="2410" w:type="dxa"/>
            <w:shd w:val="clear" w:color="auto" w:fill="auto"/>
          </w:tcPr>
          <w:p w:rsidR="000C1A85" w:rsidRPr="00314C12" w:rsidRDefault="007057B2" w:rsidP="009A5B0F">
            <w:pPr>
              <w:rPr>
                <w:rFonts w:ascii="Georgia" w:hAnsi="Georgia" w:cstheme="minorHAnsi"/>
                <w:sz w:val="16"/>
                <w:szCs w:val="16"/>
              </w:rPr>
            </w:pPr>
            <w:r w:rsidRPr="00314C12">
              <w:rPr>
                <w:rFonts w:ascii="Georgia" w:hAnsi="Georgia"/>
                <w:sz w:val="16"/>
                <w:szCs w:val="20"/>
              </w:rPr>
              <w:t>Significant proportion of compensation</w:t>
            </w:r>
            <w:r w:rsidR="000C1A85" w:rsidRPr="00314C12">
              <w:rPr>
                <w:rFonts w:ascii="Georgia" w:hAnsi="Georgia"/>
                <w:sz w:val="16"/>
                <w:szCs w:val="20"/>
              </w:rPr>
              <w:t xml:space="preserve"> for investment staff based on at least 2 year portfolio performance.</w:t>
            </w:r>
          </w:p>
        </w:tc>
        <w:tc>
          <w:tcPr>
            <w:tcW w:w="2126" w:type="dxa"/>
            <w:shd w:val="clear" w:color="auto" w:fill="auto"/>
          </w:tcPr>
          <w:p w:rsidR="000C1A85" w:rsidRPr="00314C12" w:rsidRDefault="000C1A85" w:rsidP="009A5B0F">
            <w:pPr>
              <w:rPr>
                <w:rFonts w:ascii="Georgia" w:hAnsi="Georgia" w:cstheme="minorHAnsi"/>
                <w:sz w:val="16"/>
                <w:szCs w:val="16"/>
              </w:rPr>
            </w:pPr>
            <w:r w:rsidRPr="00314C12">
              <w:rPr>
                <w:rFonts w:ascii="Georgia" w:hAnsi="Georgia"/>
                <w:sz w:val="16"/>
                <w:szCs w:val="20"/>
              </w:rPr>
              <w:t>Compensation for investment staff has no portfolio performance link.</w:t>
            </w:r>
          </w:p>
        </w:tc>
        <w:tc>
          <w:tcPr>
            <w:tcW w:w="1843" w:type="dxa"/>
          </w:tcPr>
          <w:p w:rsidR="000C1A85" w:rsidRPr="007473E9" w:rsidRDefault="000C1A85" w:rsidP="007473E9">
            <w:pPr>
              <w:jc w:val="both"/>
              <w:rPr>
                <w:sz w:val="16"/>
                <w:szCs w:val="16"/>
              </w:rPr>
            </w:pPr>
          </w:p>
        </w:tc>
      </w:tr>
      <w:tr w:rsidR="00E1674F" w:rsidTr="007473E9">
        <w:trPr>
          <w:trHeight w:val="357"/>
        </w:trPr>
        <w:tc>
          <w:tcPr>
            <w:tcW w:w="3085" w:type="dxa"/>
            <w:gridSpan w:val="2"/>
            <w:shd w:val="clear" w:color="auto" w:fill="B6DDE8" w:themeFill="accent5" w:themeFillTint="66"/>
            <w:vAlign w:val="center"/>
          </w:tcPr>
          <w:p w:rsidR="000C1A85" w:rsidRPr="00314C12" w:rsidRDefault="009A5B0F" w:rsidP="007B2C2B">
            <w:pPr>
              <w:jc w:val="center"/>
              <w:rPr>
                <w:rFonts w:ascii="Gotham XNarrow Bold" w:hAnsi="Gotham XNarrow Bold"/>
                <w:i/>
              </w:rPr>
            </w:pPr>
            <w:r w:rsidRPr="00314C12">
              <w:rPr>
                <w:rFonts w:ascii="Gotham XNarrow Bold" w:hAnsi="Gotham XNarrow Bold"/>
                <w:sz w:val="20"/>
              </w:rPr>
              <w:t>POLICY ACTIVITIES</w:t>
            </w:r>
          </w:p>
        </w:tc>
        <w:tc>
          <w:tcPr>
            <w:tcW w:w="3402" w:type="dxa"/>
            <w:tcBorders>
              <w:bottom w:val="single" w:sz="4" w:space="0" w:color="auto"/>
            </w:tcBorders>
            <w:shd w:val="clear" w:color="auto" w:fill="auto"/>
          </w:tcPr>
          <w:p w:rsidR="000C1A85" w:rsidRPr="00314C12" w:rsidRDefault="000C1A85" w:rsidP="009A5B0F">
            <w:pPr>
              <w:rPr>
                <w:rFonts w:ascii="Georgia" w:hAnsi="Georgia"/>
                <w:sz w:val="16"/>
              </w:rPr>
            </w:pPr>
            <w:r w:rsidRPr="00314C12">
              <w:rPr>
                <w:rFonts w:ascii="Georgia" w:hAnsi="Georgia"/>
                <w:sz w:val="16"/>
                <w:szCs w:val="20"/>
              </w:rPr>
              <w:t>Demonstrably leads key policy debates in all relevant geographies.</w:t>
            </w:r>
          </w:p>
        </w:tc>
        <w:tc>
          <w:tcPr>
            <w:tcW w:w="2835" w:type="dxa"/>
            <w:shd w:val="clear" w:color="auto" w:fill="auto"/>
          </w:tcPr>
          <w:p w:rsidR="000C1A85" w:rsidRPr="00314C12" w:rsidRDefault="000C1A85" w:rsidP="009A5B0F">
            <w:pPr>
              <w:rPr>
                <w:rFonts w:ascii="Georgia" w:hAnsi="Georgia"/>
              </w:rPr>
            </w:pPr>
            <w:r w:rsidRPr="00314C12">
              <w:rPr>
                <w:rFonts w:ascii="Georgia" w:hAnsi="Georgia"/>
                <w:sz w:val="16"/>
                <w:szCs w:val="20"/>
              </w:rPr>
              <w:t xml:space="preserve">Demonstrably contributes to policy debates in main geographic regions. </w:t>
            </w:r>
          </w:p>
        </w:tc>
        <w:tc>
          <w:tcPr>
            <w:tcW w:w="2410" w:type="dxa"/>
            <w:shd w:val="clear" w:color="auto" w:fill="auto"/>
          </w:tcPr>
          <w:p w:rsidR="000C1A85" w:rsidRPr="00314C12" w:rsidRDefault="000C1A85" w:rsidP="009A5B0F">
            <w:pPr>
              <w:rPr>
                <w:rFonts w:ascii="Georgia" w:hAnsi="Georgia"/>
              </w:rPr>
            </w:pPr>
            <w:r w:rsidRPr="00314C12">
              <w:rPr>
                <w:rFonts w:ascii="Georgia" w:hAnsi="Georgia"/>
                <w:sz w:val="16"/>
                <w:szCs w:val="20"/>
              </w:rPr>
              <w:t xml:space="preserve">Rarely contributes to </w:t>
            </w:r>
            <w:r w:rsidR="007473E9" w:rsidRPr="00314C12">
              <w:rPr>
                <w:rFonts w:ascii="Georgia" w:hAnsi="Georgia"/>
                <w:sz w:val="16"/>
                <w:szCs w:val="20"/>
              </w:rPr>
              <w:t xml:space="preserve">relevant </w:t>
            </w:r>
            <w:r w:rsidRPr="00314C12">
              <w:rPr>
                <w:rFonts w:ascii="Georgia" w:hAnsi="Georgia"/>
                <w:sz w:val="16"/>
                <w:szCs w:val="20"/>
              </w:rPr>
              <w:t xml:space="preserve">policy debates. </w:t>
            </w:r>
          </w:p>
        </w:tc>
        <w:tc>
          <w:tcPr>
            <w:tcW w:w="2126" w:type="dxa"/>
            <w:shd w:val="clear" w:color="auto" w:fill="auto"/>
          </w:tcPr>
          <w:p w:rsidR="000C1A85" w:rsidRPr="00314C12" w:rsidRDefault="000C1A85" w:rsidP="009A5B0F">
            <w:pPr>
              <w:rPr>
                <w:rFonts w:ascii="Georgia" w:hAnsi="Georgia"/>
              </w:rPr>
            </w:pPr>
            <w:r w:rsidRPr="00314C12">
              <w:rPr>
                <w:rFonts w:ascii="Georgia" w:hAnsi="Georgia"/>
                <w:sz w:val="16"/>
                <w:szCs w:val="20"/>
              </w:rPr>
              <w:t xml:space="preserve">Does not contribute to </w:t>
            </w:r>
            <w:r w:rsidR="007473E9" w:rsidRPr="00314C12">
              <w:rPr>
                <w:rFonts w:ascii="Georgia" w:hAnsi="Georgia"/>
                <w:sz w:val="16"/>
                <w:szCs w:val="20"/>
              </w:rPr>
              <w:t xml:space="preserve">relevant </w:t>
            </w:r>
            <w:r w:rsidRPr="00314C12">
              <w:rPr>
                <w:rFonts w:ascii="Georgia" w:hAnsi="Georgia"/>
                <w:sz w:val="16"/>
                <w:szCs w:val="20"/>
              </w:rPr>
              <w:t>policy debates.</w:t>
            </w:r>
          </w:p>
        </w:tc>
        <w:tc>
          <w:tcPr>
            <w:tcW w:w="1843" w:type="dxa"/>
          </w:tcPr>
          <w:p w:rsidR="000C1A85" w:rsidRPr="007473E9" w:rsidRDefault="000C1A85" w:rsidP="007473E9">
            <w:pPr>
              <w:jc w:val="both"/>
              <w:rPr>
                <w:sz w:val="16"/>
                <w:szCs w:val="16"/>
              </w:rPr>
            </w:pPr>
          </w:p>
          <w:p w:rsidR="000C1A85" w:rsidRPr="007473E9" w:rsidRDefault="000C1A85" w:rsidP="007473E9">
            <w:pPr>
              <w:jc w:val="both"/>
              <w:rPr>
                <w:sz w:val="16"/>
                <w:szCs w:val="16"/>
              </w:rPr>
            </w:pPr>
          </w:p>
        </w:tc>
      </w:tr>
      <w:tr w:rsidR="000C1A85" w:rsidTr="00E1674F">
        <w:trPr>
          <w:trHeight w:val="123"/>
        </w:trPr>
        <w:tc>
          <w:tcPr>
            <w:tcW w:w="3085" w:type="dxa"/>
            <w:gridSpan w:val="2"/>
            <w:shd w:val="clear" w:color="auto" w:fill="B6DDE8" w:themeFill="accent5" w:themeFillTint="66"/>
            <w:vAlign w:val="center"/>
          </w:tcPr>
          <w:p w:rsidR="000C1A85" w:rsidRPr="00314C12" w:rsidRDefault="009A5B0F" w:rsidP="007B2C2B">
            <w:pPr>
              <w:jc w:val="center"/>
              <w:rPr>
                <w:rFonts w:ascii="Gotham XNarrow Bold" w:hAnsi="Gotham XNarrow Bold"/>
              </w:rPr>
            </w:pPr>
            <w:r w:rsidRPr="00314C12">
              <w:rPr>
                <w:rFonts w:ascii="Gotham XNarrow Bold" w:hAnsi="Gotham XNarrow Bold"/>
                <w:sz w:val="20"/>
              </w:rPr>
              <w:t>STEWARDSHIP RATING</w:t>
            </w:r>
          </w:p>
        </w:tc>
        <w:tc>
          <w:tcPr>
            <w:tcW w:w="12616" w:type="dxa"/>
            <w:gridSpan w:val="5"/>
            <w:shd w:val="clear" w:color="auto" w:fill="B6DDE8" w:themeFill="accent5" w:themeFillTint="66"/>
            <w:vAlign w:val="center"/>
          </w:tcPr>
          <w:p w:rsidR="000C1A85" w:rsidRPr="00314C12" w:rsidRDefault="000C1A85" w:rsidP="0039457F">
            <w:pPr>
              <w:jc w:val="both"/>
              <w:rPr>
                <w:rFonts w:ascii="Georgia" w:hAnsi="Georgia"/>
              </w:rPr>
            </w:pPr>
            <w:r w:rsidRPr="00314C12">
              <w:rPr>
                <w:rFonts w:ascii="Georgia" w:hAnsi="Georgia"/>
                <w:sz w:val="20"/>
              </w:rPr>
              <w:t xml:space="preserve">This Framework does not seek to pass judgement on the particular stewardship policies and activities of the responding asset manager. It is envisaged that the completed Framework will equip asset owners to </w:t>
            </w:r>
            <w:r w:rsidR="00D92881" w:rsidRPr="00314C12">
              <w:rPr>
                <w:rFonts w:ascii="Georgia" w:hAnsi="Georgia"/>
                <w:sz w:val="20"/>
              </w:rPr>
              <w:t>have a more constructive dia</w:t>
            </w:r>
            <w:r w:rsidR="0039457F" w:rsidRPr="00314C12">
              <w:rPr>
                <w:rFonts w:ascii="Georgia" w:hAnsi="Georgia"/>
                <w:sz w:val="20"/>
              </w:rPr>
              <w:t xml:space="preserve">logue with investment managers about their investment and engagement processes and how each firm aligns their interests with those of their clients.  </w:t>
            </w:r>
          </w:p>
        </w:tc>
      </w:tr>
    </w:tbl>
    <w:p w:rsidR="00D36B98" w:rsidRDefault="00D36B98"/>
    <w:sectPr w:rsidR="00D36B98" w:rsidSect="0079023C">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10" w:rsidRDefault="00471A10" w:rsidP="00471A10">
      <w:pPr>
        <w:spacing w:after="0" w:line="240" w:lineRule="auto"/>
      </w:pPr>
      <w:r>
        <w:separator/>
      </w:r>
    </w:p>
  </w:endnote>
  <w:endnote w:type="continuationSeparator" w:id="0">
    <w:p w:rsidR="00471A10" w:rsidRDefault="00471A10" w:rsidP="0047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XNarrow Bold">
    <w:panose1 w:val="00000000000000000000"/>
    <w:charset w:val="00"/>
    <w:family w:val="modern"/>
    <w:notTrueType/>
    <w:pitch w:val="variable"/>
    <w:sig w:usb0="A00002FF" w:usb1="4000005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10" w:rsidRDefault="00471A10" w:rsidP="00471A10">
      <w:pPr>
        <w:spacing w:after="0" w:line="240" w:lineRule="auto"/>
      </w:pPr>
      <w:r>
        <w:separator/>
      </w:r>
    </w:p>
  </w:footnote>
  <w:footnote w:type="continuationSeparator" w:id="0">
    <w:p w:rsidR="00471A10" w:rsidRDefault="00471A10" w:rsidP="0047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32" w:rsidRDefault="00314C12" w:rsidP="00314C12">
    <w:pPr>
      <w:pStyle w:val="Header"/>
    </w:pPr>
    <w:r>
      <w:rPr>
        <w:rFonts w:ascii="Calibri" w:hAnsi="Calibri"/>
        <w:b/>
        <w:noProof/>
        <w:sz w:val="20"/>
        <w:szCs w:val="20"/>
        <w:lang w:eastAsia="en-GB"/>
      </w:rPr>
      <w:drawing>
        <wp:inline distT="0" distB="0" distL="0" distR="0">
          <wp:extent cx="1750741" cy="847868"/>
          <wp:effectExtent l="0" t="0" r="1905" b="9525"/>
          <wp:docPr id="3" name="Picture 3" descr="PLSA_Logo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SA_Logo_RE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022" cy="857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98E"/>
    <w:multiLevelType w:val="hybridMultilevel"/>
    <w:tmpl w:val="43FEF1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nsid w:val="1DCB3459"/>
    <w:multiLevelType w:val="hybridMultilevel"/>
    <w:tmpl w:val="CABE54A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64C351CB"/>
    <w:multiLevelType w:val="hybridMultilevel"/>
    <w:tmpl w:val="13C25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98"/>
    <w:rsid w:val="00006366"/>
    <w:rsid w:val="00013109"/>
    <w:rsid w:val="00022695"/>
    <w:rsid w:val="00051475"/>
    <w:rsid w:val="00060BA7"/>
    <w:rsid w:val="00063034"/>
    <w:rsid w:val="000C1A85"/>
    <w:rsid w:val="000E2E11"/>
    <w:rsid w:val="000F5A41"/>
    <w:rsid w:val="0011166C"/>
    <w:rsid w:val="001465D9"/>
    <w:rsid w:val="00163E53"/>
    <w:rsid w:val="001649F4"/>
    <w:rsid w:val="001A018F"/>
    <w:rsid w:val="001E161E"/>
    <w:rsid w:val="00202DE2"/>
    <w:rsid w:val="00252802"/>
    <w:rsid w:val="00265F7B"/>
    <w:rsid w:val="002769C6"/>
    <w:rsid w:val="00295153"/>
    <w:rsid w:val="002A4573"/>
    <w:rsid w:val="002D4CD0"/>
    <w:rsid w:val="00314C12"/>
    <w:rsid w:val="00344E2B"/>
    <w:rsid w:val="0036346E"/>
    <w:rsid w:val="00391FD3"/>
    <w:rsid w:val="0039457F"/>
    <w:rsid w:val="003B01D9"/>
    <w:rsid w:val="003B093D"/>
    <w:rsid w:val="004263AA"/>
    <w:rsid w:val="00453AAC"/>
    <w:rsid w:val="00470E49"/>
    <w:rsid w:val="00471A10"/>
    <w:rsid w:val="004B2617"/>
    <w:rsid w:val="004D3D0B"/>
    <w:rsid w:val="004F367F"/>
    <w:rsid w:val="00531812"/>
    <w:rsid w:val="00540962"/>
    <w:rsid w:val="005475A7"/>
    <w:rsid w:val="00573878"/>
    <w:rsid w:val="005775D3"/>
    <w:rsid w:val="00590B42"/>
    <w:rsid w:val="005B757C"/>
    <w:rsid w:val="005E0ADA"/>
    <w:rsid w:val="005F7F40"/>
    <w:rsid w:val="006A1238"/>
    <w:rsid w:val="006A525E"/>
    <w:rsid w:val="006C0F44"/>
    <w:rsid w:val="006D594A"/>
    <w:rsid w:val="007053C8"/>
    <w:rsid w:val="007057B2"/>
    <w:rsid w:val="00711B10"/>
    <w:rsid w:val="00740412"/>
    <w:rsid w:val="007473E9"/>
    <w:rsid w:val="0079023C"/>
    <w:rsid w:val="0079247B"/>
    <w:rsid w:val="00793D82"/>
    <w:rsid w:val="007A782D"/>
    <w:rsid w:val="007B2C2B"/>
    <w:rsid w:val="007D2A98"/>
    <w:rsid w:val="007D454D"/>
    <w:rsid w:val="008254A2"/>
    <w:rsid w:val="008424EA"/>
    <w:rsid w:val="0085094F"/>
    <w:rsid w:val="00860597"/>
    <w:rsid w:val="00863C41"/>
    <w:rsid w:val="00865EE7"/>
    <w:rsid w:val="00883001"/>
    <w:rsid w:val="008E583F"/>
    <w:rsid w:val="008E6A1E"/>
    <w:rsid w:val="00902CFC"/>
    <w:rsid w:val="00916A07"/>
    <w:rsid w:val="00931229"/>
    <w:rsid w:val="009A3A51"/>
    <w:rsid w:val="009A5B0F"/>
    <w:rsid w:val="009A7A85"/>
    <w:rsid w:val="009C2771"/>
    <w:rsid w:val="009F2AFF"/>
    <w:rsid w:val="009F4D02"/>
    <w:rsid w:val="00A00D32"/>
    <w:rsid w:val="00A0733C"/>
    <w:rsid w:val="00A12A0B"/>
    <w:rsid w:val="00A15ADF"/>
    <w:rsid w:val="00A24131"/>
    <w:rsid w:val="00A66D2D"/>
    <w:rsid w:val="00A91C1B"/>
    <w:rsid w:val="00A96250"/>
    <w:rsid w:val="00AA0D29"/>
    <w:rsid w:val="00AB542E"/>
    <w:rsid w:val="00AC08A5"/>
    <w:rsid w:val="00AC5909"/>
    <w:rsid w:val="00AC7094"/>
    <w:rsid w:val="00AE5400"/>
    <w:rsid w:val="00B02F23"/>
    <w:rsid w:val="00B214B1"/>
    <w:rsid w:val="00B222FE"/>
    <w:rsid w:val="00B57D19"/>
    <w:rsid w:val="00B63DEA"/>
    <w:rsid w:val="00B77BD2"/>
    <w:rsid w:val="00B90FCF"/>
    <w:rsid w:val="00B93369"/>
    <w:rsid w:val="00BA763D"/>
    <w:rsid w:val="00BC4D13"/>
    <w:rsid w:val="00BC63FA"/>
    <w:rsid w:val="00BE2303"/>
    <w:rsid w:val="00BE5450"/>
    <w:rsid w:val="00BF1C38"/>
    <w:rsid w:val="00C24EFC"/>
    <w:rsid w:val="00C35770"/>
    <w:rsid w:val="00C4173A"/>
    <w:rsid w:val="00C6645C"/>
    <w:rsid w:val="00C75EA5"/>
    <w:rsid w:val="00CB400B"/>
    <w:rsid w:val="00CC3BE3"/>
    <w:rsid w:val="00CD35F0"/>
    <w:rsid w:val="00CE0C55"/>
    <w:rsid w:val="00CF7860"/>
    <w:rsid w:val="00D36B98"/>
    <w:rsid w:val="00D42CA7"/>
    <w:rsid w:val="00D73ABA"/>
    <w:rsid w:val="00D74984"/>
    <w:rsid w:val="00D92881"/>
    <w:rsid w:val="00DB28D9"/>
    <w:rsid w:val="00DD76C5"/>
    <w:rsid w:val="00DE3C0A"/>
    <w:rsid w:val="00DF419B"/>
    <w:rsid w:val="00E129C8"/>
    <w:rsid w:val="00E1674F"/>
    <w:rsid w:val="00E356DB"/>
    <w:rsid w:val="00E56777"/>
    <w:rsid w:val="00E573FB"/>
    <w:rsid w:val="00E71251"/>
    <w:rsid w:val="00E71554"/>
    <w:rsid w:val="00E727CA"/>
    <w:rsid w:val="00E74876"/>
    <w:rsid w:val="00E9159F"/>
    <w:rsid w:val="00E941DE"/>
    <w:rsid w:val="00EA3B50"/>
    <w:rsid w:val="00EB165B"/>
    <w:rsid w:val="00EB7329"/>
    <w:rsid w:val="00EF1BF2"/>
    <w:rsid w:val="00F52B5A"/>
    <w:rsid w:val="00F74DC3"/>
    <w:rsid w:val="00F759AE"/>
    <w:rsid w:val="00F83CA1"/>
    <w:rsid w:val="00FA4A4C"/>
    <w:rsid w:val="00FA6456"/>
    <w:rsid w:val="00FD5606"/>
    <w:rsid w:val="00FE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03"/>
    <w:pPr>
      <w:ind w:left="720"/>
      <w:contextualSpacing/>
    </w:pPr>
  </w:style>
  <w:style w:type="paragraph" w:styleId="BalloonText">
    <w:name w:val="Balloon Text"/>
    <w:basedOn w:val="Normal"/>
    <w:link w:val="BalloonTextChar"/>
    <w:uiPriority w:val="99"/>
    <w:semiHidden/>
    <w:unhideWhenUsed/>
    <w:rsid w:val="00A66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D2D"/>
    <w:rPr>
      <w:rFonts w:ascii="Tahoma" w:hAnsi="Tahoma" w:cs="Tahoma"/>
      <w:sz w:val="16"/>
      <w:szCs w:val="16"/>
    </w:rPr>
  </w:style>
  <w:style w:type="character" w:styleId="CommentReference">
    <w:name w:val="annotation reference"/>
    <w:basedOn w:val="DefaultParagraphFont"/>
    <w:uiPriority w:val="99"/>
    <w:semiHidden/>
    <w:unhideWhenUsed/>
    <w:rsid w:val="00471A10"/>
    <w:rPr>
      <w:sz w:val="16"/>
      <w:szCs w:val="16"/>
    </w:rPr>
  </w:style>
  <w:style w:type="paragraph" w:styleId="CommentText">
    <w:name w:val="annotation text"/>
    <w:basedOn w:val="Normal"/>
    <w:link w:val="CommentTextChar"/>
    <w:uiPriority w:val="99"/>
    <w:semiHidden/>
    <w:unhideWhenUsed/>
    <w:rsid w:val="00471A10"/>
    <w:pPr>
      <w:spacing w:line="240" w:lineRule="auto"/>
    </w:pPr>
    <w:rPr>
      <w:sz w:val="20"/>
      <w:szCs w:val="20"/>
    </w:rPr>
  </w:style>
  <w:style w:type="character" w:customStyle="1" w:styleId="CommentTextChar">
    <w:name w:val="Comment Text Char"/>
    <w:basedOn w:val="DefaultParagraphFont"/>
    <w:link w:val="CommentText"/>
    <w:uiPriority w:val="99"/>
    <w:semiHidden/>
    <w:rsid w:val="00471A10"/>
    <w:rPr>
      <w:sz w:val="20"/>
      <w:szCs w:val="20"/>
    </w:rPr>
  </w:style>
  <w:style w:type="paragraph" w:styleId="CommentSubject">
    <w:name w:val="annotation subject"/>
    <w:basedOn w:val="CommentText"/>
    <w:next w:val="CommentText"/>
    <w:link w:val="CommentSubjectChar"/>
    <w:uiPriority w:val="99"/>
    <w:semiHidden/>
    <w:unhideWhenUsed/>
    <w:rsid w:val="00471A10"/>
    <w:rPr>
      <w:b/>
      <w:bCs/>
    </w:rPr>
  </w:style>
  <w:style w:type="character" w:customStyle="1" w:styleId="CommentSubjectChar">
    <w:name w:val="Comment Subject Char"/>
    <w:basedOn w:val="CommentTextChar"/>
    <w:link w:val="CommentSubject"/>
    <w:uiPriority w:val="99"/>
    <w:semiHidden/>
    <w:rsid w:val="00471A10"/>
    <w:rPr>
      <w:b/>
      <w:bCs/>
      <w:sz w:val="20"/>
      <w:szCs w:val="20"/>
    </w:rPr>
  </w:style>
  <w:style w:type="paragraph" w:styleId="FootnoteText">
    <w:name w:val="footnote text"/>
    <w:basedOn w:val="Normal"/>
    <w:link w:val="FootnoteTextChar"/>
    <w:semiHidden/>
    <w:rsid w:val="00471A1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71A10"/>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471A10"/>
    <w:rPr>
      <w:vertAlign w:val="superscript"/>
    </w:rPr>
  </w:style>
  <w:style w:type="paragraph" w:styleId="Header">
    <w:name w:val="header"/>
    <w:basedOn w:val="Normal"/>
    <w:link w:val="HeaderChar"/>
    <w:uiPriority w:val="99"/>
    <w:unhideWhenUsed/>
    <w:rsid w:val="00394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57F"/>
  </w:style>
  <w:style w:type="paragraph" w:styleId="Footer">
    <w:name w:val="footer"/>
    <w:basedOn w:val="Normal"/>
    <w:link w:val="FooterChar"/>
    <w:uiPriority w:val="99"/>
    <w:unhideWhenUsed/>
    <w:rsid w:val="00394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03"/>
    <w:pPr>
      <w:ind w:left="720"/>
      <w:contextualSpacing/>
    </w:pPr>
  </w:style>
  <w:style w:type="paragraph" w:styleId="BalloonText">
    <w:name w:val="Balloon Text"/>
    <w:basedOn w:val="Normal"/>
    <w:link w:val="BalloonTextChar"/>
    <w:uiPriority w:val="99"/>
    <w:semiHidden/>
    <w:unhideWhenUsed/>
    <w:rsid w:val="00A66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D2D"/>
    <w:rPr>
      <w:rFonts w:ascii="Tahoma" w:hAnsi="Tahoma" w:cs="Tahoma"/>
      <w:sz w:val="16"/>
      <w:szCs w:val="16"/>
    </w:rPr>
  </w:style>
  <w:style w:type="character" w:styleId="CommentReference">
    <w:name w:val="annotation reference"/>
    <w:basedOn w:val="DefaultParagraphFont"/>
    <w:uiPriority w:val="99"/>
    <w:semiHidden/>
    <w:unhideWhenUsed/>
    <w:rsid w:val="00471A10"/>
    <w:rPr>
      <w:sz w:val="16"/>
      <w:szCs w:val="16"/>
    </w:rPr>
  </w:style>
  <w:style w:type="paragraph" w:styleId="CommentText">
    <w:name w:val="annotation text"/>
    <w:basedOn w:val="Normal"/>
    <w:link w:val="CommentTextChar"/>
    <w:uiPriority w:val="99"/>
    <w:semiHidden/>
    <w:unhideWhenUsed/>
    <w:rsid w:val="00471A10"/>
    <w:pPr>
      <w:spacing w:line="240" w:lineRule="auto"/>
    </w:pPr>
    <w:rPr>
      <w:sz w:val="20"/>
      <w:szCs w:val="20"/>
    </w:rPr>
  </w:style>
  <w:style w:type="character" w:customStyle="1" w:styleId="CommentTextChar">
    <w:name w:val="Comment Text Char"/>
    <w:basedOn w:val="DefaultParagraphFont"/>
    <w:link w:val="CommentText"/>
    <w:uiPriority w:val="99"/>
    <w:semiHidden/>
    <w:rsid w:val="00471A10"/>
    <w:rPr>
      <w:sz w:val="20"/>
      <w:szCs w:val="20"/>
    </w:rPr>
  </w:style>
  <w:style w:type="paragraph" w:styleId="CommentSubject">
    <w:name w:val="annotation subject"/>
    <w:basedOn w:val="CommentText"/>
    <w:next w:val="CommentText"/>
    <w:link w:val="CommentSubjectChar"/>
    <w:uiPriority w:val="99"/>
    <w:semiHidden/>
    <w:unhideWhenUsed/>
    <w:rsid w:val="00471A10"/>
    <w:rPr>
      <w:b/>
      <w:bCs/>
    </w:rPr>
  </w:style>
  <w:style w:type="character" w:customStyle="1" w:styleId="CommentSubjectChar">
    <w:name w:val="Comment Subject Char"/>
    <w:basedOn w:val="CommentTextChar"/>
    <w:link w:val="CommentSubject"/>
    <w:uiPriority w:val="99"/>
    <w:semiHidden/>
    <w:rsid w:val="00471A10"/>
    <w:rPr>
      <w:b/>
      <w:bCs/>
      <w:sz w:val="20"/>
      <w:szCs w:val="20"/>
    </w:rPr>
  </w:style>
  <w:style w:type="paragraph" w:styleId="FootnoteText">
    <w:name w:val="footnote text"/>
    <w:basedOn w:val="Normal"/>
    <w:link w:val="FootnoteTextChar"/>
    <w:semiHidden/>
    <w:rsid w:val="00471A1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71A10"/>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471A10"/>
    <w:rPr>
      <w:vertAlign w:val="superscript"/>
    </w:rPr>
  </w:style>
  <w:style w:type="paragraph" w:styleId="Header">
    <w:name w:val="header"/>
    <w:basedOn w:val="Normal"/>
    <w:link w:val="HeaderChar"/>
    <w:uiPriority w:val="99"/>
    <w:unhideWhenUsed/>
    <w:rsid w:val="00394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57F"/>
  </w:style>
  <w:style w:type="paragraph" w:styleId="Footer">
    <w:name w:val="footer"/>
    <w:basedOn w:val="Normal"/>
    <w:link w:val="FooterChar"/>
    <w:uiPriority w:val="99"/>
    <w:unhideWhenUsed/>
    <w:rsid w:val="00394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NAPF-FILE\NAPF_NEW_N_DRIVE\Team%20repositories\External%20Affairs\11_CORPORATE_GOVERNANCE\Stewardship%20Framework\Illustrations%20for%20Framework%20cover%20pag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PF-FILE\NAPF_NEW_N_DRIVE\Team%20repositories\External%20Affairs\11_CORPORATE_GOVERNANCE\Stewardship%20Framework\Illustrations%20for%20Framework%20cover%20pag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PF-FILE\NAPF_NEW_N_DRIVE\Team%20repositories\External%20Affairs\11_CORPORATE_GOVERNANCE\Stewardship%20Framework\Illustrations%20for%20Framework%20cover%20pag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APF-FILE\NAPF_NEW_N_DRIVE\Team%20repositories\External%20Affairs\11_CORPORATE_GOVERNANCE\Stewardship%20Framework\Illustrations%20for%20Framework%20cover%20pa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0">
                <a:latin typeface="Gotham XNarrow Bold" pitchFamily="50" charset="0"/>
              </a:rPr>
              <a:t>TOTAL AUM (IN MILLIONS GBP)</a:t>
            </a:r>
          </a:p>
        </c:rich>
      </c:tx>
      <c:layout/>
      <c:overlay val="0"/>
    </c:title>
    <c:autoTitleDeleted val="0"/>
    <c:plotArea>
      <c:layout/>
      <c:barChart>
        <c:barDir val="col"/>
        <c:grouping val="clustered"/>
        <c:varyColors val="0"/>
        <c:ser>
          <c:idx val="0"/>
          <c:order val="0"/>
          <c:tx>
            <c:strRef>
              <c:f>Sheet1!$A$3</c:f>
              <c:strCache>
                <c:ptCount val="1"/>
                <c:pt idx="0">
                  <c:v>Total AUM (in Millions GBP)</c:v>
                </c:pt>
              </c:strCache>
            </c:strRef>
          </c:tx>
          <c:invertIfNegative val="0"/>
          <c:cat>
            <c:numRef>
              <c:f>Sheet1!$B$2:$E$2</c:f>
              <c:numCache>
                <c:formatCode>General</c:formatCode>
                <c:ptCount val="4"/>
                <c:pt idx="0">
                  <c:v>2015</c:v>
                </c:pt>
                <c:pt idx="1">
                  <c:v>2014</c:v>
                </c:pt>
                <c:pt idx="2">
                  <c:v>2013</c:v>
                </c:pt>
                <c:pt idx="3">
                  <c:v>2012</c:v>
                </c:pt>
              </c:numCache>
            </c:numRef>
          </c:cat>
          <c:val>
            <c:numRef>
              <c:f>Sheet1!$B$3:$E$3</c:f>
              <c:numCache>
                <c:formatCode>#,##0</c:formatCode>
                <c:ptCount val="4"/>
                <c:pt idx="0">
                  <c:v>250000</c:v>
                </c:pt>
                <c:pt idx="1">
                  <c:v>200000</c:v>
                </c:pt>
                <c:pt idx="2">
                  <c:v>150000</c:v>
                </c:pt>
                <c:pt idx="3">
                  <c:v>100000</c:v>
                </c:pt>
              </c:numCache>
            </c:numRef>
          </c:val>
        </c:ser>
        <c:dLbls>
          <c:showLegendKey val="0"/>
          <c:showVal val="0"/>
          <c:showCatName val="0"/>
          <c:showSerName val="0"/>
          <c:showPercent val="0"/>
          <c:showBubbleSize val="0"/>
        </c:dLbls>
        <c:gapWidth val="150"/>
        <c:axId val="33745920"/>
        <c:axId val="92447872"/>
      </c:barChart>
      <c:catAx>
        <c:axId val="33745920"/>
        <c:scaling>
          <c:orientation val="minMax"/>
        </c:scaling>
        <c:delete val="0"/>
        <c:axPos val="b"/>
        <c:numFmt formatCode="General" sourceLinked="1"/>
        <c:majorTickMark val="out"/>
        <c:minorTickMark val="none"/>
        <c:tickLblPos val="nextTo"/>
        <c:txPr>
          <a:bodyPr/>
          <a:lstStyle/>
          <a:p>
            <a:pPr>
              <a:defRPr sz="800"/>
            </a:pPr>
            <a:endParaRPr lang="en-US"/>
          </a:p>
        </c:txPr>
        <c:crossAx val="92447872"/>
        <c:crosses val="autoZero"/>
        <c:auto val="1"/>
        <c:lblAlgn val="ctr"/>
        <c:lblOffset val="100"/>
        <c:noMultiLvlLbl val="0"/>
      </c:catAx>
      <c:valAx>
        <c:axId val="92447872"/>
        <c:scaling>
          <c:orientation val="minMax"/>
        </c:scaling>
        <c:delete val="0"/>
        <c:axPos val="l"/>
        <c:majorGridlines/>
        <c:numFmt formatCode="#,##0" sourceLinked="1"/>
        <c:majorTickMark val="out"/>
        <c:minorTickMark val="none"/>
        <c:tickLblPos val="nextTo"/>
        <c:txPr>
          <a:bodyPr/>
          <a:lstStyle/>
          <a:p>
            <a:pPr>
              <a:defRPr sz="800"/>
            </a:pPr>
            <a:endParaRPr lang="en-US"/>
          </a:p>
        </c:txPr>
        <c:crossAx val="3374592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0">
                <a:latin typeface="Gotham XNarrow Bold" pitchFamily="50" charset="0"/>
              </a:rPr>
              <a:t>AUM BY INVESTMENT STYLE </a:t>
            </a:r>
          </a:p>
        </c:rich>
      </c:tx>
      <c:layout/>
      <c:overlay val="0"/>
    </c:title>
    <c:autoTitleDeleted val="0"/>
    <c:plotArea>
      <c:layout/>
      <c:barChart>
        <c:barDir val="col"/>
        <c:grouping val="clustered"/>
        <c:varyColors val="0"/>
        <c:ser>
          <c:idx val="0"/>
          <c:order val="0"/>
          <c:tx>
            <c:strRef>
              <c:f>Sheet1!$A$12</c:f>
              <c:strCache>
                <c:ptCount val="1"/>
                <c:pt idx="0">
                  <c:v>AUM by investment style </c:v>
                </c:pt>
              </c:strCache>
            </c:strRef>
          </c:tx>
          <c:invertIfNegative val="0"/>
          <c:cat>
            <c:strRef>
              <c:f>Sheet1!$B$11:$C$11</c:f>
              <c:strCache>
                <c:ptCount val="2"/>
                <c:pt idx="0">
                  <c:v>Actively managed </c:v>
                </c:pt>
                <c:pt idx="1">
                  <c:v>Passively managed</c:v>
                </c:pt>
              </c:strCache>
            </c:strRef>
          </c:cat>
          <c:val>
            <c:numRef>
              <c:f>Sheet1!$B$12:$C$12</c:f>
              <c:numCache>
                <c:formatCode>#,##0</c:formatCode>
                <c:ptCount val="2"/>
                <c:pt idx="0">
                  <c:v>150000</c:v>
                </c:pt>
                <c:pt idx="1">
                  <c:v>100000</c:v>
                </c:pt>
              </c:numCache>
            </c:numRef>
          </c:val>
        </c:ser>
        <c:dLbls>
          <c:showLegendKey val="0"/>
          <c:showVal val="0"/>
          <c:showCatName val="0"/>
          <c:showSerName val="0"/>
          <c:showPercent val="0"/>
          <c:showBubbleSize val="0"/>
        </c:dLbls>
        <c:gapWidth val="150"/>
        <c:axId val="94383488"/>
        <c:axId val="94420352"/>
      </c:barChart>
      <c:catAx>
        <c:axId val="94383488"/>
        <c:scaling>
          <c:orientation val="minMax"/>
        </c:scaling>
        <c:delete val="0"/>
        <c:axPos val="b"/>
        <c:majorTickMark val="out"/>
        <c:minorTickMark val="none"/>
        <c:tickLblPos val="nextTo"/>
        <c:txPr>
          <a:bodyPr/>
          <a:lstStyle/>
          <a:p>
            <a:pPr>
              <a:defRPr sz="800"/>
            </a:pPr>
            <a:endParaRPr lang="en-US"/>
          </a:p>
        </c:txPr>
        <c:crossAx val="94420352"/>
        <c:crosses val="autoZero"/>
        <c:auto val="1"/>
        <c:lblAlgn val="ctr"/>
        <c:lblOffset val="100"/>
        <c:noMultiLvlLbl val="0"/>
      </c:catAx>
      <c:valAx>
        <c:axId val="94420352"/>
        <c:scaling>
          <c:orientation val="minMax"/>
        </c:scaling>
        <c:delete val="0"/>
        <c:axPos val="l"/>
        <c:majorGridlines/>
        <c:numFmt formatCode="#,##0" sourceLinked="1"/>
        <c:majorTickMark val="out"/>
        <c:minorTickMark val="none"/>
        <c:tickLblPos val="nextTo"/>
        <c:txPr>
          <a:bodyPr/>
          <a:lstStyle/>
          <a:p>
            <a:pPr>
              <a:defRPr sz="800"/>
            </a:pPr>
            <a:endParaRPr lang="en-US"/>
          </a:p>
        </c:txPr>
        <c:crossAx val="9438348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b="0">
                <a:latin typeface="Gotham XNarrow Bold" pitchFamily="50" charset="0"/>
              </a:rPr>
              <a:t>AUM BY BROAD ASSET CLASS (IN MILLIONS GBP)</a:t>
            </a:r>
          </a:p>
        </c:rich>
      </c:tx>
      <c:layout/>
      <c:overlay val="0"/>
    </c:title>
    <c:autoTitleDeleted val="0"/>
    <c:plotArea>
      <c:layout/>
      <c:barChart>
        <c:barDir val="col"/>
        <c:grouping val="clustered"/>
        <c:varyColors val="0"/>
        <c:ser>
          <c:idx val="0"/>
          <c:order val="0"/>
          <c:tx>
            <c:strRef>
              <c:f>Sheet1!$A$6</c:f>
              <c:strCache>
                <c:ptCount val="1"/>
                <c:pt idx="0">
                  <c:v>AUM by broad Asset Class (in Millions GBP)</c:v>
                </c:pt>
              </c:strCache>
            </c:strRef>
          </c:tx>
          <c:invertIfNegative val="0"/>
          <c:cat>
            <c:strRef>
              <c:f>Sheet1!$B$5:$F$5</c:f>
              <c:strCache>
                <c:ptCount val="5"/>
                <c:pt idx="0">
                  <c:v>Equity</c:v>
                </c:pt>
                <c:pt idx="1">
                  <c:v>Fixed-income</c:v>
                </c:pt>
                <c:pt idx="2">
                  <c:v>Property</c:v>
                </c:pt>
                <c:pt idx="3">
                  <c:v>Alternatives</c:v>
                </c:pt>
                <c:pt idx="4">
                  <c:v>Other</c:v>
                </c:pt>
              </c:strCache>
            </c:strRef>
          </c:cat>
          <c:val>
            <c:numRef>
              <c:f>Sheet1!$B$6:$F$6</c:f>
              <c:numCache>
                <c:formatCode>#,##0</c:formatCode>
                <c:ptCount val="5"/>
                <c:pt idx="0">
                  <c:v>100000</c:v>
                </c:pt>
                <c:pt idx="1">
                  <c:v>120000</c:v>
                </c:pt>
                <c:pt idx="2">
                  <c:v>20000</c:v>
                </c:pt>
                <c:pt idx="3">
                  <c:v>5000</c:v>
                </c:pt>
                <c:pt idx="4">
                  <c:v>5000</c:v>
                </c:pt>
              </c:numCache>
            </c:numRef>
          </c:val>
        </c:ser>
        <c:dLbls>
          <c:showLegendKey val="0"/>
          <c:showVal val="0"/>
          <c:showCatName val="0"/>
          <c:showSerName val="0"/>
          <c:showPercent val="0"/>
          <c:showBubbleSize val="0"/>
        </c:dLbls>
        <c:gapWidth val="150"/>
        <c:axId val="104553472"/>
        <c:axId val="104555264"/>
      </c:barChart>
      <c:catAx>
        <c:axId val="104553472"/>
        <c:scaling>
          <c:orientation val="minMax"/>
        </c:scaling>
        <c:delete val="0"/>
        <c:axPos val="b"/>
        <c:majorTickMark val="out"/>
        <c:minorTickMark val="none"/>
        <c:tickLblPos val="nextTo"/>
        <c:txPr>
          <a:bodyPr/>
          <a:lstStyle/>
          <a:p>
            <a:pPr>
              <a:defRPr sz="800"/>
            </a:pPr>
            <a:endParaRPr lang="en-US"/>
          </a:p>
        </c:txPr>
        <c:crossAx val="104555264"/>
        <c:crosses val="autoZero"/>
        <c:auto val="1"/>
        <c:lblAlgn val="ctr"/>
        <c:lblOffset val="100"/>
        <c:noMultiLvlLbl val="0"/>
      </c:catAx>
      <c:valAx>
        <c:axId val="104555264"/>
        <c:scaling>
          <c:orientation val="minMax"/>
        </c:scaling>
        <c:delete val="0"/>
        <c:axPos val="l"/>
        <c:majorGridlines/>
        <c:numFmt formatCode="#,##0" sourceLinked="1"/>
        <c:majorTickMark val="out"/>
        <c:minorTickMark val="none"/>
        <c:tickLblPos val="nextTo"/>
        <c:txPr>
          <a:bodyPr/>
          <a:lstStyle/>
          <a:p>
            <a:pPr>
              <a:defRPr sz="800"/>
            </a:pPr>
            <a:endParaRPr lang="en-US"/>
          </a:p>
        </c:txPr>
        <c:crossAx val="104553472"/>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0">
                <a:latin typeface="Gotham XNarrow Bold" pitchFamily="50" charset="0"/>
              </a:rPr>
              <a:t>AUM BY CLIENT TYPE (IN MILLIONS GBP)</a:t>
            </a:r>
          </a:p>
        </c:rich>
      </c:tx>
      <c:layout/>
      <c:overlay val="0"/>
    </c:title>
    <c:autoTitleDeleted val="0"/>
    <c:plotArea>
      <c:layout/>
      <c:barChart>
        <c:barDir val="col"/>
        <c:grouping val="clustered"/>
        <c:varyColors val="0"/>
        <c:ser>
          <c:idx val="0"/>
          <c:order val="0"/>
          <c:tx>
            <c:strRef>
              <c:f>Sheet1!$A$9</c:f>
              <c:strCache>
                <c:ptCount val="1"/>
                <c:pt idx="0">
                  <c:v>AUM by Client Type (in Millions GBP)</c:v>
                </c:pt>
              </c:strCache>
            </c:strRef>
          </c:tx>
          <c:invertIfNegative val="0"/>
          <c:cat>
            <c:strRef>
              <c:f>Sheet1!$B$8:$E$8</c:f>
              <c:strCache>
                <c:ptCount val="4"/>
                <c:pt idx="0">
                  <c:v>Pension Funds</c:v>
                </c:pt>
                <c:pt idx="1">
                  <c:v>UK</c:v>
                </c:pt>
                <c:pt idx="2">
                  <c:v>US</c:v>
                </c:pt>
                <c:pt idx="3">
                  <c:v>EU</c:v>
                </c:pt>
              </c:strCache>
            </c:strRef>
          </c:cat>
          <c:val>
            <c:numRef>
              <c:f>Sheet1!$B$9:$E$9</c:f>
              <c:numCache>
                <c:formatCode>#,##0</c:formatCode>
                <c:ptCount val="4"/>
                <c:pt idx="0">
                  <c:v>160000</c:v>
                </c:pt>
                <c:pt idx="1">
                  <c:v>100000</c:v>
                </c:pt>
                <c:pt idx="2">
                  <c:v>100000</c:v>
                </c:pt>
                <c:pt idx="3">
                  <c:v>50000</c:v>
                </c:pt>
              </c:numCache>
            </c:numRef>
          </c:val>
        </c:ser>
        <c:dLbls>
          <c:showLegendKey val="0"/>
          <c:showVal val="0"/>
          <c:showCatName val="0"/>
          <c:showSerName val="0"/>
          <c:showPercent val="0"/>
          <c:showBubbleSize val="0"/>
        </c:dLbls>
        <c:gapWidth val="150"/>
        <c:axId val="107377792"/>
        <c:axId val="107379328"/>
      </c:barChart>
      <c:catAx>
        <c:axId val="107377792"/>
        <c:scaling>
          <c:orientation val="minMax"/>
        </c:scaling>
        <c:delete val="0"/>
        <c:axPos val="b"/>
        <c:majorTickMark val="out"/>
        <c:minorTickMark val="none"/>
        <c:tickLblPos val="nextTo"/>
        <c:txPr>
          <a:bodyPr/>
          <a:lstStyle/>
          <a:p>
            <a:pPr>
              <a:defRPr sz="800"/>
            </a:pPr>
            <a:endParaRPr lang="en-US"/>
          </a:p>
        </c:txPr>
        <c:crossAx val="107379328"/>
        <c:crosses val="autoZero"/>
        <c:auto val="1"/>
        <c:lblAlgn val="ctr"/>
        <c:lblOffset val="100"/>
        <c:noMultiLvlLbl val="0"/>
      </c:catAx>
      <c:valAx>
        <c:axId val="107379328"/>
        <c:scaling>
          <c:orientation val="minMax"/>
        </c:scaling>
        <c:delete val="0"/>
        <c:axPos val="l"/>
        <c:majorGridlines/>
        <c:numFmt formatCode="#,##0" sourceLinked="1"/>
        <c:majorTickMark val="out"/>
        <c:minorTickMark val="none"/>
        <c:tickLblPos val="nextTo"/>
        <c:txPr>
          <a:bodyPr/>
          <a:lstStyle/>
          <a:p>
            <a:pPr>
              <a:defRPr sz="800"/>
            </a:pPr>
            <a:endParaRPr lang="en-US"/>
          </a:p>
        </c:txPr>
        <c:crossAx val="10737779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8580-4694-459D-AC26-C5D1A043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National Association of Pension Funds Limited</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Pomroy</dc:creator>
  <cp:lastModifiedBy>Will Pomroy</cp:lastModifiedBy>
  <cp:revision>18</cp:revision>
  <cp:lastPrinted>2015-09-10T09:30:00Z</cp:lastPrinted>
  <dcterms:created xsi:type="dcterms:W3CDTF">2015-03-27T13:08:00Z</dcterms:created>
  <dcterms:modified xsi:type="dcterms:W3CDTF">2015-10-21T09:36:00Z</dcterms:modified>
</cp:coreProperties>
</file>